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jc w:val="center"/>
        <w:tblCellMar>
          <w:top w:w="397" w:type="dxa"/>
          <w:left w:w="0" w:type="dxa"/>
          <w:bottom w:w="397" w:type="dxa"/>
          <w:right w:w="0" w:type="dxa"/>
        </w:tblCellMar>
        <w:tblLook w:val="04A0" w:firstRow="1" w:lastRow="0" w:firstColumn="1" w:lastColumn="0" w:noHBand="0" w:noVBand="1"/>
      </w:tblPr>
      <w:tblGrid>
        <w:gridCol w:w="11466"/>
      </w:tblGrid>
      <w:tr w:rsidR="00C66FA3" w:rsidRPr="000846D9" w14:paraId="5F0313AD" w14:textId="77777777" w:rsidTr="00A97435">
        <w:trPr>
          <w:trHeight w:val="3913"/>
          <w:jc w:val="center"/>
        </w:trPr>
        <w:tc>
          <w:tcPr>
            <w:tcW w:w="11340" w:type="dxa"/>
            <w:shd w:val="clear" w:color="auto" w:fill="auto"/>
            <w:tcMar>
              <w:top w:w="113" w:type="dxa"/>
              <w:left w:w="0" w:type="dxa"/>
              <w:bottom w:w="0" w:type="dxa"/>
              <w:right w:w="0" w:type="dxa"/>
            </w:tcMar>
          </w:tcPr>
          <w:tbl>
            <w:tblPr>
              <w:tblStyle w:val="Tabelacomgrade"/>
              <w:tblW w:w="107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6"/>
            </w:tblGrid>
            <w:tr w:rsidR="00A97435" w14:paraId="5C68E43F" w14:textId="77777777" w:rsidTr="00A97435">
              <w:trPr>
                <w:jc w:val="center"/>
              </w:trPr>
              <w:tc>
                <w:tcPr>
                  <w:tcW w:w="10772" w:type="dxa"/>
                </w:tcPr>
                <w:p w14:paraId="6DF77AAB" w14:textId="77777777" w:rsidR="00A97435" w:rsidRDefault="007409CD" w:rsidP="00344DFC">
                  <w:pPr>
                    <w:pStyle w:val="Ttulo"/>
                  </w:pPr>
                  <w:r>
                    <w:rPr>
                      <w:noProof/>
                    </w:rPr>
                    <w:drawing>
                      <wp:inline distT="0" distB="0" distL="0" distR="0" wp14:anchorId="47A44CFE" wp14:editId="052A9507">
                        <wp:extent cx="7139305" cy="2377440"/>
                        <wp:effectExtent l="0" t="0" r="4445" b="381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9305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344C44" w14:textId="77777777" w:rsidR="006F6E91" w:rsidRDefault="006F6E91" w:rsidP="006F6E91">
                  <w:pPr>
                    <w:pStyle w:val="Ttulo"/>
                    <w:rPr>
                      <w:rFonts w:ascii="Calibri" w:eastAsiaTheme="minorHAnsi" w:hAnsi="Calibri" w:cs="Calibri"/>
                      <w:szCs w:val="36"/>
                    </w:rPr>
                  </w:pPr>
                  <w:r>
                    <w:t xml:space="preserve">Na Mídia </w:t>
                  </w:r>
                </w:p>
                <w:p w14:paraId="395EB23B" w14:textId="185CFF50" w:rsidR="006F6E91" w:rsidRDefault="00BB3126" w:rsidP="006F6E91">
                  <w:pPr>
                    <w:pStyle w:val="Cabealho"/>
                  </w:pPr>
                  <w:r>
                    <w:t>1</w:t>
                  </w:r>
                  <w:r w:rsidR="003961BA">
                    <w:t>7</w:t>
                  </w:r>
                  <w:r w:rsidR="006F6E91">
                    <w:t>/</w:t>
                  </w:r>
                  <w:r w:rsidR="0083548D">
                    <w:t>0</w:t>
                  </w:r>
                  <w:r w:rsidR="000F4E4D">
                    <w:t>5</w:t>
                  </w:r>
                  <w:r w:rsidR="006F6E91">
                    <w:t>/202</w:t>
                  </w:r>
                  <w:r w:rsidR="0083548D">
                    <w:t>2</w:t>
                  </w:r>
                  <w:r w:rsidR="006F6E91">
                    <w:t xml:space="preserve">| </w:t>
                  </w:r>
                  <w:hyperlink r:id="rId8" w:history="1">
                    <w:r w:rsidR="006F6E91" w:rsidRPr="006D1B5F">
                      <w:rPr>
                        <w:rStyle w:val="Hyperlink"/>
                      </w:rPr>
                      <w:t>Valor Econômico</w:t>
                    </w:r>
                  </w:hyperlink>
                </w:p>
                <w:p w14:paraId="00E85FFF" w14:textId="77777777" w:rsidR="006F6E91" w:rsidRDefault="006F6E91" w:rsidP="006F6E91">
                  <w:pPr>
                    <w:pStyle w:val="Cabealho"/>
                  </w:pPr>
                </w:p>
                <w:p w14:paraId="6C3246D4" w14:textId="77777777" w:rsidR="003961BA" w:rsidRPr="003961BA" w:rsidRDefault="003961BA" w:rsidP="003961BA">
                  <w:pPr>
                    <w:pStyle w:val="Ttulo1"/>
                    <w:rPr>
                      <w:rFonts w:eastAsia="Times New Roman"/>
                    </w:rPr>
                  </w:pPr>
                  <w:bookmarkStart w:id="0" w:name="_GoBack"/>
                  <w:r w:rsidRPr="003961BA">
                    <w:rPr>
                      <w:rFonts w:eastAsia="Times New Roman"/>
                    </w:rPr>
                    <w:t xml:space="preserve">STF: Moraes nega liminares sobre </w:t>
                  </w:r>
                  <w:proofErr w:type="spellStart"/>
                  <w:r w:rsidRPr="003961BA">
                    <w:rPr>
                      <w:rFonts w:eastAsia="Times New Roman"/>
                    </w:rPr>
                    <w:t>Difal</w:t>
                  </w:r>
                  <w:proofErr w:type="spellEnd"/>
                </w:p>
                <w:bookmarkEnd w:id="0"/>
                <w:p w14:paraId="00D4CEC9" w14:textId="77777777" w:rsidR="003961BA" w:rsidRDefault="003961BA" w:rsidP="003961BA">
                  <w:pPr>
                    <w:pStyle w:val="Subttulo"/>
                  </w:pPr>
                  <w:r>
                    <w:t>Contribuintes pediam ordem judicial para impedir a cobrança neste ano</w:t>
                  </w:r>
                </w:p>
                <w:p w14:paraId="65C8B668" w14:textId="23C86075" w:rsidR="00BB3126" w:rsidRPr="00BB3126" w:rsidRDefault="00BB3126" w:rsidP="003961BA">
                  <w:pPr>
                    <w:rPr>
                      <w:rStyle w:val="RefernciaSutil"/>
                      <w:szCs w:val="20"/>
                    </w:rPr>
                  </w:pPr>
                  <w:r w:rsidRPr="00BB3126">
                    <w:rPr>
                      <w:rStyle w:val="RefernciaSutil"/>
                      <w:szCs w:val="20"/>
                    </w:rPr>
                    <w:t xml:space="preserve">Beatriz </w:t>
                  </w:r>
                  <w:proofErr w:type="spellStart"/>
                  <w:r w:rsidRPr="00BB3126">
                    <w:rPr>
                      <w:rStyle w:val="RefernciaSutil"/>
                      <w:szCs w:val="20"/>
                    </w:rPr>
                    <w:t>Olivon</w:t>
                  </w:r>
                  <w:proofErr w:type="spellEnd"/>
                  <w:r w:rsidR="003961BA">
                    <w:rPr>
                      <w:rStyle w:val="RefernciaSutil"/>
                      <w:szCs w:val="20"/>
                    </w:rPr>
                    <w:t xml:space="preserve"> | Adriana Aguiar</w:t>
                  </w:r>
                </w:p>
                <w:p w14:paraId="1BD52CC4" w14:textId="1979EA18" w:rsidR="003961BA" w:rsidRPr="006D1B5F" w:rsidRDefault="003961BA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>O ministro Alexandre de Moraes, do Supremo Tribunal Federal (STF), negou os pedidos de liminares feitos sobre a cobrança do diferencial de alíquota do ICMS para o comércio eletrônico (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Difal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). As ações questionavam a partir de quando os Estados podem cobrar o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Difal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>.</w:t>
                  </w:r>
                </w:p>
                <w:p w14:paraId="128F5E14" w14:textId="77777777" w:rsidR="003961BA" w:rsidRPr="006D1B5F" w:rsidRDefault="003961BA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Enquanto as Fazendas estaduais defendem a cobrança ainda neste ano, empresas e tributaristas alegam que, como a lei foi publicada em 2022, o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Difal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 só poderá ser exigido a partir de 2023. Sem as liminares, a discussão sobre o momento de cobrança segue.</w:t>
                  </w:r>
                </w:p>
                <w:p w14:paraId="16B27154" w14:textId="77777777" w:rsidR="003961BA" w:rsidRPr="006D1B5F" w:rsidRDefault="003961BA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>Os pedidos foram feitos em quatro ações. Em um dos casos (ADI 7075), a negativa foi por razão processual. Essa ação havia sido proposta pelo Sindicato Nacional das Empresas Distribuidoras de Produtos Siderúrgicos.</w:t>
                  </w:r>
                </w:p>
                <w:p w14:paraId="60F16A89" w14:textId="77777777" w:rsidR="003961BA" w:rsidRPr="006D1B5F" w:rsidRDefault="003961BA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As outras três ações foram propostas pela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Abimaq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 (ADI 7066), pelo governador do Estado de Alagoas (ADI 7070) e pelo governador do Estado do Ceará (ADI 7078). Apesar dos pedidos nas liminares serem diferentes, a resposta foi a mesma.</w:t>
                  </w:r>
                </w:p>
                <w:p w14:paraId="33FBD2B0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De acordo com Moraes, não estão presentes os requisitos necessários para a concessão da medida liminar pleiteada pelos diferentes interessados. Os requisitos são o indício de que há razão no pedido e perigo na demora em decidir. Ainda segundo o ministro, a conclusão do julgamento do STF sobre o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Difal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 não parece ser suficiente para impor a incidência do princípio da anterioridade (que postergaria a cobrança).</w:t>
                  </w:r>
                </w:p>
                <w:p w14:paraId="4F56130B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“Trata-se de um tributo já existente (diferencial de alíquota de ICMS), sobre fato gerador antes já tributado (operações interestaduais destinadas a consumidor não contribuinte), por alíquota (final) inalterada, a ser pago pelo mesmo contribuinte, sem aumento do </w:t>
                  </w:r>
                  <w:proofErr w:type="gramStart"/>
                  <w:r w:rsidRPr="006D1B5F">
                    <w:rPr>
                      <w:rStyle w:val="RefernciaSutil"/>
                      <w:sz w:val="24"/>
                    </w:rPr>
                    <w:t>produto final</w:t>
                  </w:r>
                  <w:proofErr w:type="gramEnd"/>
                  <w:r w:rsidRPr="006D1B5F">
                    <w:rPr>
                      <w:rStyle w:val="RefernciaSutil"/>
                      <w:sz w:val="24"/>
                    </w:rPr>
                    <w:t xml:space="preserve"> arrecadado”, afirma, na decisão.</w:t>
                  </w:r>
                </w:p>
                <w:p w14:paraId="7978381C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O pedido da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Abimaq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 era para impedir a cobrança neste ano. Já nas ações propostas pelos Estados, o pedido cautelar era sobre a possibilidade de cobrança nos primeiros 90 dias do ano. Para Moraes, o decurso de mais de 90 dias desde a edição da norma descaracteriza a presença do requisito do perigo na demora (periculum in mora), necessário para a apreciação desse pedido em sede de liminar.</w:t>
                  </w:r>
                </w:p>
                <w:p w14:paraId="03332039" w14:textId="77777777" w:rsidR="006D1B5F" w:rsidRPr="006D1B5F" w:rsidRDefault="006D1B5F" w:rsidP="006D1B5F">
                  <w:pPr>
                    <w:rPr>
                      <w:rStyle w:val="RefernciaSutil"/>
                      <w:b/>
                      <w:bCs/>
                      <w:sz w:val="24"/>
                    </w:rPr>
                  </w:pPr>
                  <w:r w:rsidRPr="006D1B5F">
                    <w:rPr>
                      <w:rStyle w:val="RefernciaSutil"/>
                      <w:b/>
                      <w:bCs/>
                      <w:sz w:val="24"/>
                    </w:rPr>
                    <w:lastRenderedPageBreak/>
                    <w:t>Repercussão</w:t>
                  </w:r>
                </w:p>
                <w:p w14:paraId="34D88064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Segundo o advogado Rafael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Nichele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, sócio da banca que leva seu nome, a decisão do ministro Alexandre de Morais não encerra a discussão, apenas diz que ele entende não ser o caso de conceder liminar. Contudo, o caso ainda terá que ter seu mérito analisado pelo Plenário. Quanto a isso,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Nichele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 ressalta que como a Lei Complementar nº 190 foi publicada</w:t>
                  </w:r>
                </w:p>
                <w:p w14:paraId="3DCD5DF8" w14:textId="5EA0B41B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Para o tributarista, como a nova lei complementar alterou o local da cobrança do ICMS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Difal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 xml:space="preserve">, pode haver elevação de alíquota de tributo, a depender da situação. Por isso, os prazos para a entrada em vigor da exigência, previstos na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Constiuição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>, devem ser respeitados.</w:t>
                  </w:r>
                </w:p>
                <w:p w14:paraId="42EEEAA6" w14:textId="77777777" w:rsidR="006D1B5F" w:rsidRPr="006D1B5F" w:rsidRDefault="006D1B5F" w:rsidP="006D1B5F">
                  <w:pPr>
                    <w:rPr>
                      <w:rStyle w:val="RefernciaSutil"/>
                      <w:b/>
                      <w:bCs/>
                      <w:sz w:val="24"/>
                    </w:rPr>
                  </w:pPr>
                  <w:r w:rsidRPr="006D1B5F">
                    <w:rPr>
                      <w:rStyle w:val="RefernciaSutil"/>
                      <w:b/>
                      <w:bCs/>
                      <w:sz w:val="24"/>
                    </w:rPr>
                    <w:t>De acordo com Mauricio Barros, sócio da área tributária do Demarest Advogados, o clima de incerteza continua com a negativa das liminares.</w:t>
                  </w:r>
                </w:p>
                <w:p w14:paraId="5E0DD567" w14:textId="5A73452D" w:rsidR="006D1B5F" w:rsidRPr="006D1B5F" w:rsidRDefault="006D1B5F" w:rsidP="006D1B5F">
                  <w:pPr>
                    <w:rPr>
                      <w:rStyle w:val="RefernciaSutil"/>
                      <w:b/>
                      <w:bCs/>
                      <w:sz w:val="24"/>
                    </w:rPr>
                  </w:pPr>
                  <w:r w:rsidRPr="006D1B5F">
                    <w:rPr>
                      <w:rStyle w:val="RefernciaSutil"/>
                      <w:b/>
                      <w:bCs/>
                      <w:sz w:val="24"/>
                    </w:rPr>
                    <w:t>Pedidos</w:t>
                  </w:r>
                </w:p>
                <w:p w14:paraId="3D5914BF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A primeira ação foi proposta pela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Abimaq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>, que questionou a previsão da Lei Complementar nº 190, de entrar em vigor na data da publicação, no começo de janeiro. A Associação pediu que a cobrança seja feita somente a partir de janeiro do ano que vem, por causa de previsão constitucional que impede que um imposto seja criado e cobrado no mesmo ano.</w:t>
                  </w:r>
                </w:p>
                <w:p w14:paraId="7333F118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>“Até mesmo os Estados divergem acerca do início da cobrança da exação, gerando grande insegurança jurídica para o contribuinte”, afirma.</w:t>
                  </w:r>
                </w:p>
                <w:p w14:paraId="361ACCB2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>Na ação proposta por Alagoas (ADI 7070), o governador do Estado questionou o fato de o legislador federal decidir suspender a exigência do tributo que vem sendo recolhido normalmente pelos contribuintes desde 2015 a pretexto de modernizar o regime de arrecadação.</w:t>
                  </w:r>
                  <w:r w:rsidRPr="006D1B5F">
                    <w:rPr>
                      <w:rStyle w:val="RefernciaSutil"/>
                      <w:sz w:val="24"/>
                    </w:rPr>
                    <w:t xml:space="preserve"> </w:t>
                  </w:r>
                  <w:r w:rsidRPr="006D1B5F">
                    <w:rPr>
                      <w:rStyle w:val="RefernciaSutil"/>
                      <w:sz w:val="24"/>
                    </w:rPr>
                    <w:t xml:space="preserve">Para o Estado, o conteúdo da norma federal “limita desarrazoadamente” o exercício da competência tributária dos Estados ao interditar temporariamente a exigência do </w:t>
                  </w:r>
                  <w:proofErr w:type="spellStart"/>
                  <w:r w:rsidRPr="006D1B5F">
                    <w:rPr>
                      <w:rStyle w:val="RefernciaSutil"/>
                      <w:sz w:val="24"/>
                    </w:rPr>
                    <w:t>Difal</w:t>
                  </w:r>
                  <w:proofErr w:type="spellEnd"/>
                  <w:r w:rsidRPr="006D1B5F">
                    <w:rPr>
                      <w:rStyle w:val="RefernciaSutil"/>
                      <w:sz w:val="24"/>
                    </w:rPr>
                    <w:t>.</w:t>
                  </w:r>
                </w:p>
                <w:p w14:paraId="53650392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  <w:r w:rsidRPr="006D1B5F">
                    <w:rPr>
                      <w:rStyle w:val="RefernciaSutil"/>
                      <w:sz w:val="24"/>
                    </w:rPr>
                    <w:t xml:space="preserve">Ainda segundo o governo, a redação introduzida pela Emenda Constitucional nº 87, de 2015, regulada pelo Convênio Confaz nº 93, de 2015, e agora pela Lei Complementar 190, não </w:t>
                  </w:r>
                  <w:proofErr w:type="gramStart"/>
                  <w:r w:rsidRPr="006D1B5F">
                    <w:rPr>
                      <w:rStyle w:val="RefernciaSutil"/>
                      <w:sz w:val="24"/>
                    </w:rPr>
                    <w:t>cria um novo</w:t>
                  </w:r>
                  <w:proofErr w:type="gramEnd"/>
                  <w:r w:rsidRPr="006D1B5F">
                    <w:rPr>
                      <w:rStyle w:val="RefernciaSutil"/>
                      <w:sz w:val="24"/>
                    </w:rPr>
                    <w:t xml:space="preserve"> tributo e nem o majorou. A anterioridade caberia apenas nesses casos, de acordo com o Estado.</w:t>
                  </w:r>
                </w:p>
                <w:p w14:paraId="6546C909" w14:textId="77777777" w:rsidR="006D1B5F" w:rsidRPr="006D1B5F" w:rsidRDefault="006D1B5F" w:rsidP="006D1B5F">
                  <w:pPr>
                    <w:rPr>
                      <w:rStyle w:val="RefernciaSutil"/>
                      <w:b/>
                      <w:bCs/>
                      <w:sz w:val="24"/>
                    </w:rPr>
                  </w:pPr>
                </w:p>
                <w:p w14:paraId="6DB54839" w14:textId="27CD2512" w:rsidR="006D1B5F" w:rsidRPr="006D1B5F" w:rsidRDefault="006D1B5F" w:rsidP="006D1B5F">
                  <w:pPr>
                    <w:rPr>
                      <w:rStyle w:val="RefernciaSutil"/>
                      <w:b/>
                      <w:bCs/>
                      <w:sz w:val="24"/>
                    </w:rPr>
                  </w:pPr>
                </w:p>
                <w:p w14:paraId="0413E8DA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</w:p>
                <w:p w14:paraId="50A03155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</w:p>
                <w:p w14:paraId="51F16466" w14:textId="77777777" w:rsidR="006D1B5F" w:rsidRPr="006D1B5F" w:rsidRDefault="006D1B5F" w:rsidP="006D1B5F">
                  <w:pPr>
                    <w:rPr>
                      <w:rStyle w:val="RefernciaSutil"/>
                      <w:sz w:val="24"/>
                    </w:rPr>
                  </w:pPr>
                </w:p>
                <w:p w14:paraId="6C2FD24B" w14:textId="77777777" w:rsidR="006D1B5F" w:rsidRDefault="006D1B5F" w:rsidP="006D1B5F">
                  <w:pPr>
                    <w:rPr>
                      <w:rStyle w:val="RefernciaSutil"/>
                      <w:szCs w:val="20"/>
                    </w:rPr>
                  </w:pPr>
                </w:p>
                <w:p w14:paraId="1E21AD55" w14:textId="77777777" w:rsidR="006D1B5F" w:rsidRDefault="006D1B5F" w:rsidP="006D1B5F">
                  <w:pPr>
                    <w:rPr>
                      <w:rStyle w:val="RefernciaSutil"/>
                      <w:szCs w:val="20"/>
                    </w:rPr>
                  </w:pPr>
                </w:p>
                <w:p w14:paraId="156E28D0" w14:textId="77777777" w:rsidR="006D1B5F" w:rsidRPr="006D1B5F" w:rsidRDefault="006D1B5F" w:rsidP="006D1B5F">
                  <w:pPr>
                    <w:rPr>
                      <w:rStyle w:val="RefernciaSutil"/>
                      <w:szCs w:val="20"/>
                    </w:rPr>
                  </w:pPr>
                </w:p>
                <w:p w14:paraId="5E5C4D3B" w14:textId="099F268A" w:rsidR="006D1B5F" w:rsidRDefault="006D1B5F" w:rsidP="003961BA">
                  <w:pPr>
                    <w:rPr>
                      <w:rStyle w:val="RefernciaSutil"/>
                      <w:szCs w:val="20"/>
                    </w:rPr>
                  </w:pPr>
                </w:p>
                <w:p w14:paraId="3996202D" w14:textId="77777777" w:rsidR="006D1B5F" w:rsidRDefault="006D1B5F" w:rsidP="003961BA">
                  <w:pPr>
                    <w:rPr>
                      <w:rStyle w:val="RefernciaSutil"/>
                      <w:szCs w:val="20"/>
                    </w:rPr>
                  </w:pPr>
                </w:p>
                <w:p w14:paraId="010ACB4D" w14:textId="77777777" w:rsidR="006D1B5F" w:rsidRDefault="006D1B5F" w:rsidP="003961BA">
                  <w:pPr>
                    <w:rPr>
                      <w:rStyle w:val="RefernciaSutil"/>
                      <w:szCs w:val="20"/>
                    </w:rPr>
                  </w:pPr>
                </w:p>
                <w:p w14:paraId="2559D357" w14:textId="77777777" w:rsidR="006D1B5F" w:rsidRDefault="006D1B5F" w:rsidP="003961BA">
                  <w:pPr>
                    <w:rPr>
                      <w:rStyle w:val="RefernciaSutil"/>
                      <w:szCs w:val="20"/>
                    </w:rPr>
                  </w:pPr>
                </w:p>
                <w:p w14:paraId="738345BE" w14:textId="77777777" w:rsidR="003961BA" w:rsidRDefault="003961BA" w:rsidP="003961BA">
                  <w:pPr>
                    <w:rPr>
                      <w:rStyle w:val="RefernciaSutil"/>
                      <w:szCs w:val="20"/>
                    </w:rPr>
                  </w:pPr>
                </w:p>
                <w:p w14:paraId="63C26F42" w14:textId="77777777" w:rsidR="003961BA" w:rsidRPr="003961BA" w:rsidRDefault="003961BA" w:rsidP="003961BA">
                  <w:pPr>
                    <w:rPr>
                      <w:rStyle w:val="RefernciaSutil"/>
                      <w:szCs w:val="20"/>
                    </w:rPr>
                  </w:pPr>
                </w:p>
                <w:p w14:paraId="47C34A92" w14:textId="339E2275" w:rsidR="00BB3126" w:rsidRDefault="00BB3126" w:rsidP="00BB3126">
                  <w:pPr>
                    <w:rPr>
                      <w:rStyle w:val="RefernciaSutil"/>
                      <w:szCs w:val="20"/>
                    </w:rPr>
                  </w:pPr>
                </w:p>
                <w:p w14:paraId="549CABDC" w14:textId="77777777" w:rsidR="003961BA" w:rsidRDefault="003961BA" w:rsidP="00BB3126">
                  <w:pPr>
                    <w:rPr>
                      <w:rStyle w:val="RefernciaSutil"/>
                      <w:szCs w:val="20"/>
                    </w:rPr>
                  </w:pPr>
                </w:p>
                <w:p w14:paraId="30C8C6BE" w14:textId="77777777" w:rsidR="00BB3126" w:rsidRDefault="00BB3126" w:rsidP="00BB3126">
                  <w:pPr>
                    <w:rPr>
                      <w:rStyle w:val="RefernciaSutil"/>
                      <w:szCs w:val="20"/>
                    </w:rPr>
                  </w:pPr>
                </w:p>
                <w:p w14:paraId="257645BC" w14:textId="77777777" w:rsidR="00BB3126" w:rsidRPr="00BB3126" w:rsidRDefault="00BB3126" w:rsidP="00BB3126">
                  <w:pPr>
                    <w:rPr>
                      <w:rStyle w:val="RefernciaSutil"/>
                      <w:szCs w:val="20"/>
                    </w:rPr>
                  </w:pPr>
                </w:p>
                <w:p w14:paraId="2A0FD199" w14:textId="6800F0BE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07209B71" w14:textId="77777777" w:rsidR="00BB3126" w:rsidRDefault="00BB3126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0CF7F77D" w14:textId="77777777" w:rsidR="00BB3126" w:rsidRDefault="00BB3126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421B7C83" w14:textId="77777777" w:rsidR="00BB3126" w:rsidRDefault="00BB3126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706AD00D" w14:textId="77777777" w:rsidR="00BB3126" w:rsidRDefault="00BB3126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17E67829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479CE70A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405C5CE5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6BCE8DB8" w14:textId="77777777" w:rsidR="0051292F" w:rsidRP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1C68EC34" w14:textId="72F22181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4DFC537D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73990B63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22E99D2F" w14:textId="77777777" w:rsidR="0051292F" w:rsidRP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2B2DDD30" w14:textId="31097529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52E07492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067EC4A4" w14:textId="77777777" w:rsidR="0051292F" w:rsidRDefault="0051292F" w:rsidP="0051292F">
                  <w:pPr>
                    <w:rPr>
                      <w:rStyle w:val="RefernciaSutil"/>
                      <w:szCs w:val="20"/>
                    </w:rPr>
                  </w:pPr>
                </w:p>
                <w:p w14:paraId="1EDEE6F5" w14:textId="31C1E505" w:rsidR="006215C8" w:rsidRDefault="006215C8" w:rsidP="006215C8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61BB433D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055F8432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173E25C3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58F9CA50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50C7AED6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5314E42B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02D733FB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44B877D3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194E73BE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104E6C4F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615E57F8" w14:textId="77777777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272AC07D" w14:textId="77777777" w:rsidR="006215C8" w:rsidRP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70390DDD" w14:textId="15EF782D" w:rsid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1EE20DB9" w14:textId="77777777" w:rsidR="006215C8" w:rsidRPr="006215C8" w:rsidRDefault="006215C8" w:rsidP="006215C8">
                  <w:pPr>
                    <w:rPr>
                      <w:rStyle w:val="RefernciaSutil"/>
                      <w:szCs w:val="20"/>
                    </w:rPr>
                  </w:pPr>
                </w:p>
                <w:p w14:paraId="35421218" w14:textId="5502C35B" w:rsidR="00DB6DBD" w:rsidRDefault="00DB6DBD" w:rsidP="00DB6DBD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660D553F" w14:textId="77777777" w:rsidR="006215C8" w:rsidRDefault="006215C8" w:rsidP="00DB6DBD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662125B6" w14:textId="663D9AB0" w:rsidR="008E5665" w:rsidRDefault="008E5665" w:rsidP="008E5665">
                  <w:pPr>
                    <w:jc w:val="center"/>
                    <w:rPr>
                      <w:rStyle w:val="RefernciaSutil"/>
                      <w:sz w:val="24"/>
                    </w:rPr>
                  </w:pPr>
                </w:p>
                <w:p w14:paraId="6176FD0C" w14:textId="77777777" w:rsidR="001E50F9" w:rsidRP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2A948DBC" w14:textId="4047EDE3" w:rsid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227DF97B" w14:textId="77777777" w:rsid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032AFC2C" w14:textId="77777777" w:rsid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53F0B0AB" w14:textId="77777777" w:rsidR="001E50F9" w:rsidRP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14433D4F" w14:textId="5B7690E3" w:rsid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6EA13412" w14:textId="77777777" w:rsidR="001E50F9" w:rsidRP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7293C54E" w14:textId="77777777" w:rsidR="001E50F9" w:rsidRP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5EB93AFD" w14:textId="5F45B48C" w:rsid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102C48BC" w14:textId="77777777" w:rsid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25A6298D" w14:textId="77777777" w:rsidR="001E50F9" w:rsidRPr="001E50F9" w:rsidRDefault="001E50F9" w:rsidP="001E50F9">
                  <w:pPr>
                    <w:rPr>
                      <w:rStyle w:val="RefernciaSutil"/>
                      <w:sz w:val="24"/>
                    </w:rPr>
                  </w:pPr>
                </w:p>
                <w:p w14:paraId="34EDD9F6" w14:textId="615605C0" w:rsidR="001E50F9" w:rsidRDefault="001E50F9" w:rsidP="0097178B">
                  <w:pPr>
                    <w:rPr>
                      <w:rStyle w:val="RefernciaSutil"/>
                      <w:sz w:val="24"/>
                    </w:rPr>
                  </w:pPr>
                </w:p>
                <w:p w14:paraId="3C278A11" w14:textId="77777777" w:rsidR="001E50F9" w:rsidRPr="0097178B" w:rsidRDefault="001E50F9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5098EAD8" w14:textId="77777777" w:rsid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304BAEF3" w14:textId="1576355E" w:rsidR="0097178B" w:rsidRP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7F5D8594" w14:textId="77777777" w:rsidR="0097178B" w:rsidRP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7CC371AC" w14:textId="7D3841D9" w:rsid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724324BB" w14:textId="77777777" w:rsidR="0097178B" w:rsidRP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1CB98DFB" w14:textId="1E45A221" w:rsid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70699890" w14:textId="77777777" w:rsidR="0097178B" w:rsidRP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68A6969A" w14:textId="15BA4F25" w:rsid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277AF990" w14:textId="77777777" w:rsidR="0097178B" w:rsidRPr="0097178B" w:rsidRDefault="0097178B" w:rsidP="0097178B">
                  <w:pPr>
                    <w:rPr>
                      <w:rStyle w:val="RefernciaSutil"/>
                      <w:szCs w:val="20"/>
                    </w:rPr>
                  </w:pPr>
                </w:p>
                <w:p w14:paraId="5AFB926F" w14:textId="002D8B43" w:rsidR="0097178B" w:rsidRDefault="0097178B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6E444222" w14:textId="77777777" w:rsidR="0097178B" w:rsidRDefault="0097178B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0BA02C81" w14:textId="77777777" w:rsidR="007C270E" w:rsidRPr="006016FF" w:rsidRDefault="007C270E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271DC9F9" w14:textId="04D1E1EB" w:rsidR="006016FF" w:rsidRDefault="006016FF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02D4B065" w14:textId="77777777" w:rsidR="006016FF" w:rsidRPr="006016FF" w:rsidRDefault="006016FF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2370D10C" w14:textId="0C5C2E94" w:rsidR="006016FF" w:rsidRDefault="006016FF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477395BE" w14:textId="77777777" w:rsidR="006016FF" w:rsidRPr="006016FF" w:rsidRDefault="006016FF" w:rsidP="006016FF">
                  <w:pPr>
                    <w:rPr>
                      <w:rStyle w:val="RefernciaSutil"/>
                      <w:szCs w:val="20"/>
                    </w:rPr>
                  </w:pPr>
                </w:p>
                <w:p w14:paraId="05BC8AC7" w14:textId="6C3B894C" w:rsidR="00636CA5" w:rsidRDefault="00636CA5" w:rsidP="003D5FB3">
                  <w:pPr>
                    <w:rPr>
                      <w:rStyle w:val="RefernciaSutil"/>
                      <w:szCs w:val="20"/>
                    </w:rPr>
                  </w:pPr>
                </w:p>
                <w:p w14:paraId="430F1661" w14:textId="77777777" w:rsidR="006016FF" w:rsidRPr="00636CA5" w:rsidRDefault="006016FF" w:rsidP="003D5FB3">
                  <w:pPr>
                    <w:rPr>
                      <w:rStyle w:val="RefernciaSutil"/>
                      <w:szCs w:val="20"/>
                    </w:rPr>
                  </w:pPr>
                </w:p>
                <w:p w14:paraId="1D39F550" w14:textId="77777777" w:rsidR="00C233C4" w:rsidRDefault="00C233C4" w:rsidP="006F6E91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6F2BC4EF" w14:textId="77777777" w:rsidR="00C233C4" w:rsidRDefault="00C233C4" w:rsidP="006F6E91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1A4C395F" w14:textId="77777777" w:rsidR="00C233C4" w:rsidRDefault="00C233C4" w:rsidP="006F6E91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65AA11E8" w14:textId="77777777" w:rsidR="00C233C4" w:rsidRDefault="00C233C4" w:rsidP="006F6E91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04AE3903" w14:textId="77777777" w:rsidR="00C233C4" w:rsidRDefault="00C233C4" w:rsidP="006F6E91">
                  <w:pPr>
                    <w:jc w:val="center"/>
                    <w:rPr>
                      <w:rStyle w:val="RefernciaSutil"/>
                      <w:szCs w:val="20"/>
                    </w:rPr>
                  </w:pPr>
                </w:p>
                <w:p w14:paraId="422B085F" w14:textId="77777777" w:rsidR="00C233C4" w:rsidRDefault="00C233C4" w:rsidP="006F6E91">
                  <w:pPr>
                    <w:jc w:val="center"/>
                  </w:pPr>
                </w:p>
                <w:p w14:paraId="1E632400" w14:textId="63279341" w:rsidR="00580D35" w:rsidRDefault="00580D35" w:rsidP="00C233C4"/>
              </w:tc>
            </w:tr>
          </w:tbl>
          <w:p w14:paraId="3F093355" w14:textId="77777777" w:rsidR="00A97435" w:rsidRPr="00344DFC" w:rsidRDefault="00A97435" w:rsidP="00A97435"/>
        </w:tc>
      </w:tr>
    </w:tbl>
    <w:p w14:paraId="1416BED9" w14:textId="77777777" w:rsidR="005F498C" w:rsidRPr="000846D9" w:rsidRDefault="005F498C" w:rsidP="00344DFC"/>
    <w:sectPr w:rsidR="005F498C" w:rsidRPr="000846D9" w:rsidSect="002A6206">
      <w:footerReference w:type="default" r:id="rId9"/>
      <w:footerReference w:type="first" r:id="rId10"/>
      <w:pgSz w:w="11906" w:h="16838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3C2DA" w14:textId="77777777" w:rsidR="007409CD" w:rsidRDefault="007409CD" w:rsidP="00344DFC">
      <w:r>
        <w:separator/>
      </w:r>
    </w:p>
  </w:endnote>
  <w:endnote w:type="continuationSeparator" w:id="0">
    <w:p w14:paraId="236D7A07" w14:textId="77777777" w:rsidR="007409CD" w:rsidRDefault="007409CD" w:rsidP="003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27E01" w14:textId="77777777" w:rsidR="004A60DD" w:rsidRDefault="006D1B5F" w:rsidP="00344DFC">
    <w:pPr>
      <w:pStyle w:val="Rodap"/>
    </w:pPr>
  </w:p>
  <w:p w14:paraId="1448B2E0" w14:textId="77777777" w:rsidR="00433BB1" w:rsidRDefault="00433BB1" w:rsidP="00344DFC">
    <w:pPr>
      <w:pStyle w:val="Rodap"/>
    </w:pPr>
    <w:r>
      <w:rPr>
        <w:noProof/>
        <w:lang w:eastAsia="pt-BR"/>
      </w:rPr>
      <mc:AlternateContent>
        <mc:Choice Requires="wps">
          <w:drawing>
            <wp:inline distT="0" distB="0" distL="0" distR="0" wp14:anchorId="0A92354A" wp14:editId="2612FB7A">
              <wp:extent cx="6350000" cy="381000"/>
              <wp:effectExtent l="0" t="0" r="12700" b="12700"/>
              <wp:docPr id="4" name="ws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0DE969" w14:textId="77777777" w:rsidR="00433BB1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A92354A" id="_x0000_t202" coordsize="21600,21600" o:spt="202" path="m,l,21600r21600,l21600,xe">
              <v:stroke joinstyle="miter"/>
              <v:path gradientshapeok="t" o:connecttype="rect"/>
            </v:shapetype>
            <v:shape id="wsFOOTER" o:spid="_x0000_s1026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" filled="f" stroked="f" strokeweight=".5pt">
              <v:textbox style="mso-fit-shape-to-text:t" inset="0,0,0,0">
                <w:txbxContent>
                  <w:p w14:paraId="670DE969" w14:textId="77777777" w:rsidR="00433BB1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1D7E9" w14:textId="77777777" w:rsidR="001F4AA0" w:rsidRPr="002A6206" w:rsidRDefault="001F4AA0" w:rsidP="00344DFC">
    <w:pPr>
      <w:pStyle w:val="Rodap"/>
      <w:rPr>
        <w:sz w:val="12"/>
        <w:szCs w:val="12"/>
      </w:rPr>
    </w:pPr>
    <w:r w:rsidRPr="002A6206">
      <w:rPr>
        <w:noProof/>
        <w:sz w:val="12"/>
        <w:szCs w:val="12"/>
        <w:lang w:eastAsia="pt-BR"/>
      </w:rPr>
      <mc:AlternateContent>
        <mc:Choice Requires="wps">
          <w:drawing>
            <wp:inline distT="0" distB="0" distL="0" distR="0" wp14:anchorId="41463583" wp14:editId="3D7FB34A">
              <wp:extent cx="6350000" cy="381000"/>
              <wp:effectExtent l="0" t="0" r="12700" b="12700"/>
              <wp:docPr id="1" name="wsFIRST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2DA103" w14:textId="77777777" w:rsidR="001F4AA0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1463583" id="_x0000_t202" coordsize="21600,21600" o:spt="202" path="m,l,21600r21600,l21600,xe">
              <v:stroke joinstyle="miter"/>
              <v:path gradientshapeok="t" o:connecttype="rect"/>
            </v:shapetype>
            <v:shape id="wsFIRSTFOOTER" o:spid="_x0000_s1027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" filled="f" stroked="f" strokeweight=".5pt">
              <v:textbox style="mso-fit-shape-to-text:t" inset="0,0,0,0">
                <w:txbxContent>
                  <w:p w14:paraId="392DA103" w14:textId="77777777" w:rsidR="001F4AA0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49D6A" w14:textId="77777777" w:rsidR="007409CD" w:rsidRDefault="007409CD" w:rsidP="00344DFC">
      <w:r>
        <w:separator/>
      </w:r>
    </w:p>
  </w:footnote>
  <w:footnote w:type="continuationSeparator" w:id="0">
    <w:p w14:paraId="6ABFBC0D" w14:textId="77777777" w:rsidR="007409CD" w:rsidRDefault="007409CD" w:rsidP="0034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CD"/>
    <w:rsid w:val="00012045"/>
    <w:rsid w:val="00016D88"/>
    <w:rsid w:val="00045B28"/>
    <w:rsid w:val="00060982"/>
    <w:rsid w:val="00082E04"/>
    <w:rsid w:val="000846D9"/>
    <w:rsid w:val="000910DF"/>
    <w:rsid w:val="000A6C9A"/>
    <w:rsid w:val="000C595B"/>
    <w:rsid w:val="000E04A7"/>
    <w:rsid w:val="000F4E4D"/>
    <w:rsid w:val="001216C6"/>
    <w:rsid w:val="0012470D"/>
    <w:rsid w:val="00133D94"/>
    <w:rsid w:val="00160156"/>
    <w:rsid w:val="001D02A3"/>
    <w:rsid w:val="001D2BEF"/>
    <w:rsid w:val="001E50F9"/>
    <w:rsid w:val="001F4AA0"/>
    <w:rsid w:val="001F5BC9"/>
    <w:rsid w:val="002076E6"/>
    <w:rsid w:val="00235DB8"/>
    <w:rsid w:val="00254A0D"/>
    <w:rsid w:val="00291D53"/>
    <w:rsid w:val="002A6206"/>
    <w:rsid w:val="0033251B"/>
    <w:rsid w:val="00344DFC"/>
    <w:rsid w:val="00377A53"/>
    <w:rsid w:val="003961BA"/>
    <w:rsid w:val="003D5FB3"/>
    <w:rsid w:val="003F0F78"/>
    <w:rsid w:val="00422041"/>
    <w:rsid w:val="00433BB1"/>
    <w:rsid w:val="004A66B7"/>
    <w:rsid w:val="004C2A55"/>
    <w:rsid w:val="004D1335"/>
    <w:rsid w:val="0051292F"/>
    <w:rsid w:val="005570B0"/>
    <w:rsid w:val="005745DB"/>
    <w:rsid w:val="00580D35"/>
    <w:rsid w:val="00591280"/>
    <w:rsid w:val="005F498C"/>
    <w:rsid w:val="006000BA"/>
    <w:rsid w:val="006016FF"/>
    <w:rsid w:val="006215C8"/>
    <w:rsid w:val="00636CA5"/>
    <w:rsid w:val="0065746C"/>
    <w:rsid w:val="00696802"/>
    <w:rsid w:val="006D1B5F"/>
    <w:rsid w:val="006F6E91"/>
    <w:rsid w:val="0071515F"/>
    <w:rsid w:val="007409CD"/>
    <w:rsid w:val="007C270E"/>
    <w:rsid w:val="007C64A1"/>
    <w:rsid w:val="007C6FE4"/>
    <w:rsid w:val="007D7BDB"/>
    <w:rsid w:val="00815F47"/>
    <w:rsid w:val="00816D0B"/>
    <w:rsid w:val="0083548D"/>
    <w:rsid w:val="0084467D"/>
    <w:rsid w:val="00871F7A"/>
    <w:rsid w:val="00876F4E"/>
    <w:rsid w:val="008A76A4"/>
    <w:rsid w:val="008E5665"/>
    <w:rsid w:val="008E7601"/>
    <w:rsid w:val="008E7A10"/>
    <w:rsid w:val="009516C3"/>
    <w:rsid w:val="009677C1"/>
    <w:rsid w:val="0097178B"/>
    <w:rsid w:val="009731A5"/>
    <w:rsid w:val="009956C7"/>
    <w:rsid w:val="009A4EBC"/>
    <w:rsid w:val="00A05C8F"/>
    <w:rsid w:val="00A2288A"/>
    <w:rsid w:val="00A64902"/>
    <w:rsid w:val="00A83511"/>
    <w:rsid w:val="00A928C5"/>
    <w:rsid w:val="00A97435"/>
    <w:rsid w:val="00AB24E3"/>
    <w:rsid w:val="00AC0F1F"/>
    <w:rsid w:val="00B15077"/>
    <w:rsid w:val="00B36011"/>
    <w:rsid w:val="00B428E0"/>
    <w:rsid w:val="00B87163"/>
    <w:rsid w:val="00BB3126"/>
    <w:rsid w:val="00C10C53"/>
    <w:rsid w:val="00C233C4"/>
    <w:rsid w:val="00C25BFB"/>
    <w:rsid w:val="00C372A6"/>
    <w:rsid w:val="00C66FA3"/>
    <w:rsid w:val="00CD6297"/>
    <w:rsid w:val="00D22C70"/>
    <w:rsid w:val="00D61EED"/>
    <w:rsid w:val="00D63714"/>
    <w:rsid w:val="00D71678"/>
    <w:rsid w:val="00DA2A3B"/>
    <w:rsid w:val="00DB30AE"/>
    <w:rsid w:val="00DB6DBD"/>
    <w:rsid w:val="00DC0B81"/>
    <w:rsid w:val="00DD00F6"/>
    <w:rsid w:val="00E2038B"/>
    <w:rsid w:val="00E27C1C"/>
    <w:rsid w:val="00E75A65"/>
    <w:rsid w:val="00EC6693"/>
    <w:rsid w:val="00F25456"/>
    <w:rsid w:val="00F33E62"/>
    <w:rsid w:val="00F9261E"/>
    <w:rsid w:val="00F97F39"/>
    <w:rsid w:val="00FB350D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0182BCF"/>
  <w15:chartTrackingRefBased/>
  <w15:docId w15:val="{9D51A471-5317-4664-A5AA-6924290D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4DFC"/>
    <w:pPr>
      <w:spacing w:after="120" w:line="288" w:lineRule="auto"/>
      <w:jc w:val="both"/>
    </w:pPr>
    <w:rPr>
      <w:rFonts w:asciiTheme="minorHAnsi" w:eastAsiaTheme="majorEastAsia" w:hAnsiTheme="minorHAnsi" w:cstheme="minorHAnsi"/>
      <w:color w:val="00223C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44DFC"/>
    <w:pPr>
      <w:keepNext/>
      <w:keepLines/>
      <w:spacing w:before="40"/>
      <w:outlineLvl w:val="0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0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8F"/>
  </w:style>
  <w:style w:type="paragraph" w:styleId="Cabealho">
    <w:name w:val="header"/>
    <w:basedOn w:val="Normal"/>
    <w:link w:val="CabealhoChar"/>
    <w:uiPriority w:val="99"/>
    <w:unhideWhenUsed/>
    <w:rsid w:val="0034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DFC"/>
    <w:rPr>
      <w:rFonts w:asciiTheme="minorHAnsi" w:eastAsiaTheme="majorEastAsia" w:hAnsiTheme="minorHAnsi" w:cstheme="minorHAnsi"/>
      <w:color w:val="00223C"/>
      <w:sz w:val="24"/>
      <w:szCs w:val="24"/>
    </w:rPr>
  </w:style>
  <w:style w:type="table" w:styleId="Tabelacomgrade">
    <w:name w:val="Table Grid"/>
    <w:basedOn w:val="Tabelanormal"/>
    <w:uiPriority w:val="39"/>
    <w:rsid w:val="008A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A76A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DFC"/>
    <w:rPr>
      <w:rFonts w:asciiTheme="minorHAnsi" w:eastAsiaTheme="majorEastAsia" w:hAnsiTheme="minorHAnsi" w:cstheme="minorHAnsi"/>
      <w:b/>
      <w:color w:val="00223C"/>
      <w:sz w:val="36"/>
      <w:szCs w:val="24"/>
    </w:rPr>
  </w:style>
  <w:style w:type="paragraph" w:styleId="Ttulo">
    <w:name w:val="Title"/>
    <w:basedOn w:val="Ttulo1"/>
    <w:next w:val="Normal"/>
    <w:link w:val="TtuloChar"/>
    <w:uiPriority w:val="10"/>
    <w:qFormat/>
    <w:rsid w:val="00344DFC"/>
    <w:rPr>
      <w:b w:val="0"/>
      <w:color w:val="CD8C5E"/>
    </w:rPr>
  </w:style>
  <w:style w:type="character" w:customStyle="1" w:styleId="TtuloChar">
    <w:name w:val="Título Char"/>
    <w:basedOn w:val="Fontepargpadro"/>
    <w:link w:val="Ttulo"/>
    <w:uiPriority w:val="10"/>
    <w:rsid w:val="00344DFC"/>
    <w:rPr>
      <w:rFonts w:asciiTheme="minorHAnsi" w:eastAsiaTheme="majorEastAsia" w:hAnsiTheme="minorHAnsi" w:cstheme="minorHAnsi"/>
      <w:color w:val="CD8C5E"/>
      <w:sz w:val="36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DFC"/>
    <w:pPr>
      <w:outlineLvl w:val="3"/>
    </w:pPr>
    <w:rPr>
      <w:color w:val="CD8C5E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344DFC"/>
    <w:rPr>
      <w:rFonts w:asciiTheme="minorHAnsi" w:eastAsiaTheme="majorEastAsia" w:hAnsiTheme="minorHAnsi" w:cstheme="minorHAnsi"/>
      <w:color w:val="CD8C5E"/>
      <w:sz w:val="28"/>
      <w:szCs w:val="24"/>
    </w:rPr>
  </w:style>
  <w:style w:type="character" w:styleId="RefernciaSutil">
    <w:name w:val="Subtle Reference"/>
    <w:aliases w:val="Autor"/>
    <w:uiPriority w:val="31"/>
    <w:qFormat/>
    <w:rsid w:val="00344DFC"/>
    <w:rPr>
      <w:rFonts w:asciiTheme="minorHAnsi" w:eastAsiaTheme="majorEastAsia" w:hAnsiTheme="minorHAnsi" w:cstheme="minorHAnsi"/>
      <w:color w:val="00223C"/>
      <w:sz w:val="2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E7601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or.globo.com/legislacao/noticia/2022/05/17/stf-moraes-nega-liminares-sobre-difal.g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CD62-6693-4051-AF0E-7BDDE2B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de Oliveira Silva | Demarest Advogados</dc:creator>
  <cp:keywords/>
  <dc:description/>
  <cp:lastModifiedBy>Cristiane Santana Sa | Demarest Advogados</cp:lastModifiedBy>
  <cp:revision>2</cp:revision>
  <cp:lastPrinted>2022-05-06T12:57:00Z</cp:lastPrinted>
  <dcterms:created xsi:type="dcterms:W3CDTF">2022-05-18T14:00:00Z</dcterms:created>
  <dcterms:modified xsi:type="dcterms:W3CDTF">2022-05-18T14:00:00Z</dcterms:modified>
</cp:coreProperties>
</file>