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jc w:val="center"/>
        <w:tblCellMar>
          <w:top w:w="397" w:type="dxa"/>
          <w:left w:w="0" w:type="dxa"/>
          <w:bottom w:w="397" w:type="dxa"/>
          <w:right w:w="0" w:type="dxa"/>
        </w:tblCellMar>
        <w:tblLook w:val="04A0" w:firstRow="1" w:lastRow="0" w:firstColumn="1" w:lastColumn="0" w:noHBand="0" w:noVBand="1"/>
      </w:tblPr>
      <w:tblGrid>
        <w:gridCol w:w="11466"/>
      </w:tblGrid>
      <w:tr w:rsidR="00C66FA3" w:rsidRPr="000846D9" w14:paraId="5F0313AD" w14:textId="77777777" w:rsidTr="00A97435">
        <w:trPr>
          <w:trHeight w:val="3913"/>
          <w:jc w:val="center"/>
        </w:trPr>
        <w:tc>
          <w:tcPr>
            <w:tcW w:w="11340" w:type="dxa"/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tbl>
            <w:tblPr>
              <w:tblStyle w:val="Tabelacomgrade"/>
              <w:tblW w:w="1077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66"/>
            </w:tblGrid>
            <w:tr w:rsidR="00A97435" w14:paraId="5C68E43F" w14:textId="77777777" w:rsidTr="00A97435">
              <w:trPr>
                <w:jc w:val="center"/>
              </w:trPr>
              <w:tc>
                <w:tcPr>
                  <w:tcW w:w="10772" w:type="dxa"/>
                </w:tcPr>
                <w:p w14:paraId="6DF77AAB" w14:textId="77777777" w:rsidR="00A97435" w:rsidRDefault="007409CD" w:rsidP="00344DFC">
                  <w:pPr>
                    <w:pStyle w:val="Ttulo"/>
                  </w:pPr>
                  <w:r>
                    <w:rPr>
                      <w:noProof/>
                    </w:rPr>
                    <w:drawing>
                      <wp:inline distT="0" distB="0" distL="0" distR="0" wp14:anchorId="47A44CFE" wp14:editId="052A9507">
                        <wp:extent cx="7139305" cy="2377440"/>
                        <wp:effectExtent l="0" t="0" r="4445" b="381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9305" cy="23774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344C44" w14:textId="77777777" w:rsidR="006F6E91" w:rsidRDefault="006F6E91" w:rsidP="006F6E91">
                  <w:pPr>
                    <w:pStyle w:val="Ttulo"/>
                    <w:rPr>
                      <w:rFonts w:ascii="Calibri" w:eastAsiaTheme="minorHAnsi" w:hAnsi="Calibri" w:cs="Calibri"/>
                      <w:szCs w:val="36"/>
                    </w:rPr>
                  </w:pPr>
                  <w:r>
                    <w:t xml:space="preserve">Na Mídia </w:t>
                  </w:r>
                </w:p>
                <w:p w14:paraId="395EB23B" w14:textId="185CFF50" w:rsidR="006F6E91" w:rsidRDefault="00BB3126" w:rsidP="006F6E91">
                  <w:pPr>
                    <w:pStyle w:val="Cabealho"/>
                  </w:pPr>
                  <w:r>
                    <w:t>1</w:t>
                  </w:r>
                  <w:r w:rsidR="003961BA">
                    <w:t>7</w:t>
                  </w:r>
                  <w:r w:rsidR="006F6E91">
                    <w:t>/</w:t>
                  </w:r>
                  <w:r w:rsidR="0083548D">
                    <w:t>0</w:t>
                  </w:r>
                  <w:r w:rsidR="000F4E4D">
                    <w:t>5</w:t>
                  </w:r>
                  <w:r w:rsidR="006F6E91">
                    <w:t>/202</w:t>
                  </w:r>
                  <w:r w:rsidR="0083548D">
                    <w:t>2</w:t>
                  </w:r>
                  <w:r w:rsidR="006F6E91">
                    <w:t xml:space="preserve">| </w:t>
                  </w:r>
                  <w:hyperlink r:id="rId8" w:history="1">
                    <w:r w:rsidR="006F6E91" w:rsidRPr="006D1B5F">
                      <w:rPr>
                        <w:rStyle w:val="Hyperlink"/>
                      </w:rPr>
                      <w:t>Valor Econômico</w:t>
                    </w:r>
                  </w:hyperlink>
                </w:p>
                <w:p w14:paraId="00E85FFF" w14:textId="77777777" w:rsidR="006F6E91" w:rsidRDefault="006F6E91" w:rsidP="006F6E91">
                  <w:pPr>
                    <w:pStyle w:val="Cabealho"/>
                  </w:pPr>
                </w:p>
                <w:p w14:paraId="6C3246D4" w14:textId="77777777" w:rsidR="003961BA" w:rsidRPr="003961BA" w:rsidRDefault="003961BA" w:rsidP="003961BA">
                  <w:pPr>
                    <w:pStyle w:val="Ttulo1"/>
                    <w:rPr>
                      <w:rFonts w:eastAsia="Times New Roman"/>
                    </w:rPr>
                  </w:pPr>
                  <w:bookmarkStart w:id="0" w:name="_GoBack"/>
                  <w:r w:rsidRPr="003961BA">
                    <w:rPr>
                      <w:rFonts w:eastAsia="Times New Roman"/>
                    </w:rPr>
                    <w:t xml:space="preserve">STF: Moraes nega liminares sobre </w:t>
                  </w:r>
                  <w:proofErr w:type="spellStart"/>
                  <w:r w:rsidRPr="003961BA">
                    <w:rPr>
                      <w:rFonts w:eastAsia="Times New Roman"/>
                    </w:rPr>
                    <w:t>Difal</w:t>
                  </w:r>
                  <w:proofErr w:type="spellEnd"/>
                </w:p>
                <w:bookmarkEnd w:id="0"/>
                <w:p w14:paraId="00D4CEC9" w14:textId="77777777" w:rsidR="003961BA" w:rsidRDefault="003961BA" w:rsidP="003961BA">
                  <w:pPr>
                    <w:pStyle w:val="Subttulo"/>
                  </w:pPr>
                  <w:r>
                    <w:t>Contribuintes pediam ordem judicial para impedir a cobrança neste ano</w:t>
                  </w:r>
                </w:p>
                <w:p w14:paraId="65C8B668" w14:textId="23C86075" w:rsidR="00BB3126" w:rsidRPr="00BB3126" w:rsidRDefault="00BB3126" w:rsidP="003961BA">
                  <w:pPr>
                    <w:rPr>
                      <w:rStyle w:val="RefernciaSutil"/>
                      <w:szCs w:val="20"/>
                    </w:rPr>
                  </w:pPr>
                  <w:r w:rsidRPr="00BB3126">
                    <w:rPr>
                      <w:rStyle w:val="RefernciaSutil"/>
                      <w:szCs w:val="20"/>
                    </w:rPr>
                    <w:t xml:space="preserve">Beatriz </w:t>
                  </w:r>
                  <w:proofErr w:type="spellStart"/>
                  <w:r w:rsidRPr="00BB3126">
                    <w:rPr>
                      <w:rStyle w:val="RefernciaSutil"/>
                      <w:szCs w:val="20"/>
                    </w:rPr>
                    <w:t>Olivon</w:t>
                  </w:r>
                  <w:proofErr w:type="spellEnd"/>
                  <w:r w:rsidR="003961BA">
                    <w:rPr>
                      <w:rStyle w:val="RefernciaSutil"/>
                      <w:szCs w:val="20"/>
                    </w:rPr>
                    <w:t xml:space="preserve"> | Adriana Aguiar</w:t>
                  </w:r>
                </w:p>
                <w:p w14:paraId="1BD52CC4" w14:textId="1979EA18" w:rsidR="003961BA" w:rsidRPr="006D1B5F" w:rsidRDefault="003961BA" w:rsidP="006D1B5F">
                  <w:pPr>
                    <w:rPr>
                      <w:rStyle w:val="RefernciaSutil"/>
                      <w:sz w:val="24"/>
                    </w:rPr>
                  </w:pPr>
                  <w:r w:rsidRPr="006D1B5F">
                    <w:rPr>
                      <w:rStyle w:val="RefernciaSutil"/>
                      <w:sz w:val="24"/>
                    </w:rPr>
                    <w:t>O ministro Alexandre de Moraes, do Supremo Tribunal Federal (STF), negou os pedidos de liminares feitos sobre a cobrança do diferencial de alíquota do ICMS para o comércio eletrônico (</w:t>
                  </w:r>
                  <w:proofErr w:type="spellStart"/>
                  <w:r w:rsidRPr="006D1B5F">
                    <w:rPr>
                      <w:rStyle w:val="RefernciaSutil"/>
                      <w:sz w:val="24"/>
                    </w:rPr>
                    <w:t>Difal</w:t>
                  </w:r>
                  <w:proofErr w:type="spellEnd"/>
                  <w:r w:rsidRPr="006D1B5F">
                    <w:rPr>
                      <w:rStyle w:val="RefernciaSutil"/>
                      <w:sz w:val="24"/>
                    </w:rPr>
                    <w:t xml:space="preserve">). As ações questionavam a partir de quando os Estados podem cobrar o </w:t>
                  </w:r>
                  <w:proofErr w:type="spellStart"/>
                  <w:r w:rsidRPr="006D1B5F">
                    <w:rPr>
                      <w:rStyle w:val="RefernciaSutil"/>
                      <w:sz w:val="24"/>
                    </w:rPr>
                    <w:t>Difal</w:t>
                  </w:r>
                  <w:proofErr w:type="spellEnd"/>
                  <w:r w:rsidRPr="006D1B5F">
                    <w:rPr>
                      <w:rStyle w:val="RefernciaSutil"/>
                      <w:sz w:val="24"/>
                    </w:rPr>
                    <w:t>.</w:t>
                  </w:r>
                </w:p>
                <w:p w14:paraId="128F5E14" w14:textId="77777777" w:rsidR="003961BA" w:rsidRPr="006D1B5F" w:rsidRDefault="003961BA" w:rsidP="006D1B5F">
                  <w:pPr>
                    <w:rPr>
                      <w:rStyle w:val="RefernciaSutil"/>
                      <w:sz w:val="24"/>
                    </w:rPr>
                  </w:pPr>
                  <w:r w:rsidRPr="006D1B5F">
                    <w:rPr>
                      <w:rStyle w:val="RefernciaSutil"/>
                      <w:sz w:val="24"/>
                    </w:rPr>
                    <w:t xml:space="preserve">Enquanto as Fazendas estaduais defendem a cobrança ainda neste ano, empresas e tributaristas alegam que, como a lei foi publicada em 2022, o </w:t>
                  </w:r>
                  <w:proofErr w:type="spellStart"/>
                  <w:r w:rsidRPr="006D1B5F">
                    <w:rPr>
                      <w:rStyle w:val="RefernciaSutil"/>
                      <w:sz w:val="24"/>
                    </w:rPr>
                    <w:t>Difal</w:t>
                  </w:r>
                  <w:proofErr w:type="spellEnd"/>
                  <w:r w:rsidRPr="006D1B5F">
                    <w:rPr>
                      <w:rStyle w:val="RefernciaSutil"/>
                      <w:sz w:val="24"/>
                    </w:rPr>
                    <w:t xml:space="preserve"> só poderá ser exigido a partir de 2023. Sem as liminares, a discussão sobre o momento de cobrança segue.</w:t>
                  </w:r>
                </w:p>
                <w:p w14:paraId="16B27154" w14:textId="77777777" w:rsidR="003961BA" w:rsidRPr="006D1B5F" w:rsidRDefault="003961BA" w:rsidP="006D1B5F">
                  <w:pPr>
                    <w:rPr>
                      <w:rStyle w:val="RefernciaSutil"/>
                      <w:sz w:val="24"/>
                    </w:rPr>
                  </w:pPr>
                  <w:r w:rsidRPr="006D1B5F">
                    <w:rPr>
                      <w:rStyle w:val="RefernciaSutil"/>
                      <w:sz w:val="24"/>
                    </w:rPr>
                    <w:t>Os pedidos foram feitos em quatro ações. Em um dos casos (ADI 7075), a negativa foi por razão processual. Essa ação havia sido proposta pelo Sindicato Nacional das Empresas Distribuidoras de Produtos Siderúrgicos.</w:t>
                  </w:r>
                </w:p>
                <w:p w14:paraId="60F16A89" w14:textId="77777777" w:rsidR="003961BA" w:rsidRPr="006D1B5F" w:rsidRDefault="003961BA" w:rsidP="006D1B5F">
                  <w:pPr>
                    <w:rPr>
                      <w:rStyle w:val="RefernciaSutil"/>
                      <w:sz w:val="24"/>
                    </w:rPr>
                  </w:pPr>
                  <w:r w:rsidRPr="006D1B5F">
                    <w:rPr>
                      <w:rStyle w:val="RefernciaSutil"/>
                      <w:sz w:val="24"/>
                    </w:rPr>
                    <w:t xml:space="preserve">As outras três ações foram propostas pela </w:t>
                  </w:r>
                  <w:proofErr w:type="spellStart"/>
                  <w:r w:rsidRPr="006D1B5F">
                    <w:rPr>
                      <w:rStyle w:val="RefernciaSutil"/>
                      <w:sz w:val="24"/>
                    </w:rPr>
                    <w:t>Abimaq</w:t>
                  </w:r>
                  <w:proofErr w:type="spellEnd"/>
                  <w:r w:rsidRPr="006D1B5F">
                    <w:rPr>
                      <w:rStyle w:val="RefernciaSutil"/>
                      <w:sz w:val="24"/>
                    </w:rPr>
                    <w:t xml:space="preserve"> (ADI 7066), pelo governador do Estado de Alagoas (ADI 7070) e pelo governador do Estado do Ceará (ADI 7078). Apesar dos pedidos nas liminares serem diferentes, a resposta foi a mesma.</w:t>
                  </w:r>
                </w:p>
                <w:p w14:paraId="33FBD2B0" w14:textId="77777777" w:rsidR="006D1B5F" w:rsidRPr="006D1B5F" w:rsidRDefault="006D1B5F" w:rsidP="006D1B5F">
                  <w:pPr>
                    <w:rPr>
                      <w:rStyle w:val="RefernciaSutil"/>
                      <w:sz w:val="24"/>
                    </w:rPr>
                  </w:pPr>
                  <w:r w:rsidRPr="006D1B5F">
                    <w:rPr>
                      <w:rStyle w:val="RefernciaSutil"/>
                      <w:sz w:val="24"/>
                    </w:rPr>
                    <w:t xml:space="preserve">De acordo com Moraes, não estão presentes os requisitos necessários para a concessão da medida liminar pleiteada pelos diferentes interessados. Os requisitos são o indício de que há razão no pedido e perigo na demora em decidir. Ainda segundo o ministro, a conclusão do julgamento do STF sobre o </w:t>
                  </w:r>
                  <w:proofErr w:type="spellStart"/>
                  <w:r w:rsidRPr="006D1B5F">
                    <w:rPr>
                      <w:rStyle w:val="RefernciaSutil"/>
                      <w:sz w:val="24"/>
                    </w:rPr>
                    <w:t>Difal</w:t>
                  </w:r>
                  <w:proofErr w:type="spellEnd"/>
                  <w:r w:rsidRPr="006D1B5F">
                    <w:rPr>
                      <w:rStyle w:val="RefernciaSutil"/>
                      <w:sz w:val="24"/>
                    </w:rPr>
                    <w:t xml:space="preserve"> não parece ser suficiente para impor a incidência do princípio da anterioridade (que postergaria a cobrança).</w:t>
                  </w:r>
                </w:p>
                <w:p w14:paraId="4F56130B" w14:textId="77777777" w:rsidR="006D1B5F" w:rsidRPr="006D1B5F" w:rsidRDefault="006D1B5F" w:rsidP="006D1B5F">
                  <w:pPr>
                    <w:rPr>
                      <w:rStyle w:val="RefernciaSutil"/>
                      <w:sz w:val="24"/>
                    </w:rPr>
                  </w:pPr>
                  <w:r w:rsidRPr="006D1B5F">
                    <w:rPr>
                      <w:rStyle w:val="RefernciaSutil"/>
                      <w:sz w:val="24"/>
                    </w:rPr>
                    <w:t xml:space="preserve">“Trata-se de um tributo já existente (diferencial de alíquota de ICMS), sobre fato gerador antes já tributado (operações interestaduais destinadas a consumidor não contribuinte), por alíquota (final) inalterada, a ser pago pelo mesmo contribuinte, sem aumento do </w:t>
                  </w:r>
                  <w:proofErr w:type="gramStart"/>
                  <w:r w:rsidRPr="006D1B5F">
                    <w:rPr>
                      <w:rStyle w:val="RefernciaSutil"/>
                      <w:sz w:val="24"/>
                    </w:rPr>
                    <w:t>produto final</w:t>
                  </w:r>
                  <w:proofErr w:type="gramEnd"/>
                  <w:r w:rsidRPr="006D1B5F">
                    <w:rPr>
                      <w:rStyle w:val="RefernciaSutil"/>
                      <w:sz w:val="24"/>
                    </w:rPr>
                    <w:t xml:space="preserve"> arrecadado”, afirma, na decisão.</w:t>
                  </w:r>
                </w:p>
                <w:p w14:paraId="7978381C" w14:textId="77777777" w:rsidR="006D1B5F" w:rsidRPr="006D1B5F" w:rsidRDefault="006D1B5F" w:rsidP="006D1B5F">
                  <w:pPr>
                    <w:rPr>
                      <w:rStyle w:val="RefernciaSutil"/>
                      <w:sz w:val="24"/>
                    </w:rPr>
                  </w:pPr>
                  <w:r w:rsidRPr="006D1B5F">
                    <w:rPr>
                      <w:rStyle w:val="RefernciaSutil"/>
                      <w:sz w:val="24"/>
                    </w:rPr>
                    <w:t xml:space="preserve">O pedido da </w:t>
                  </w:r>
                  <w:proofErr w:type="spellStart"/>
                  <w:r w:rsidRPr="006D1B5F">
                    <w:rPr>
                      <w:rStyle w:val="RefernciaSutil"/>
                      <w:sz w:val="24"/>
                    </w:rPr>
                    <w:t>Abimaq</w:t>
                  </w:r>
                  <w:proofErr w:type="spellEnd"/>
                  <w:r w:rsidRPr="006D1B5F">
                    <w:rPr>
                      <w:rStyle w:val="RefernciaSutil"/>
                      <w:sz w:val="24"/>
                    </w:rPr>
                    <w:t xml:space="preserve"> era para impedir a cobrança neste ano. Já nas ações propostas pelos Estados, o pedido cautelar era sobre a possibilidade de cobrança nos primeiros 90 dias do ano. Para Moraes, o decurso de mais de 90 dias desde a edição da norma descaracteriza a presença do requisito do perigo na demora (periculum in mora), necessário para a apreciação desse pedido em sede de liminar.</w:t>
                  </w:r>
                </w:p>
                <w:p w14:paraId="03332039" w14:textId="77777777" w:rsidR="006D1B5F" w:rsidRPr="006D1B5F" w:rsidRDefault="006D1B5F" w:rsidP="006D1B5F">
                  <w:pPr>
                    <w:rPr>
                      <w:rStyle w:val="RefernciaSutil"/>
                      <w:b/>
                      <w:bCs/>
                      <w:sz w:val="24"/>
                    </w:rPr>
                  </w:pPr>
                  <w:r w:rsidRPr="006D1B5F">
                    <w:rPr>
                      <w:rStyle w:val="RefernciaSutil"/>
                      <w:b/>
                      <w:bCs/>
                      <w:sz w:val="24"/>
                    </w:rPr>
                    <w:lastRenderedPageBreak/>
                    <w:t>Repercussão</w:t>
                  </w:r>
                </w:p>
                <w:p w14:paraId="34D88064" w14:textId="77777777" w:rsidR="006D1B5F" w:rsidRPr="006D1B5F" w:rsidRDefault="006D1B5F" w:rsidP="006D1B5F">
                  <w:pPr>
                    <w:rPr>
                      <w:rStyle w:val="RefernciaSutil"/>
                      <w:sz w:val="24"/>
                    </w:rPr>
                  </w:pPr>
                  <w:r w:rsidRPr="006D1B5F">
                    <w:rPr>
                      <w:rStyle w:val="RefernciaSutil"/>
                      <w:sz w:val="24"/>
                    </w:rPr>
                    <w:t xml:space="preserve">Segundo o advogado Rafael </w:t>
                  </w:r>
                  <w:proofErr w:type="spellStart"/>
                  <w:r w:rsidRPr="006D1B5F">
                    <w:rPr>
                      <w:rStyle w:val="RefernciaSutil"/>
                      <w:sz w:val="24"/>
                    </w:rPr>
                    <w:t>Nichele</w:t>
                  </w:r>
                  <w:proofErr w:type="spellEnd"/>
                  <w:r w:rsidRPr="006D1B5F">
                    <w:rPr>
                      <w:rStyle w:val="RefernciaSutil"/>
                      <w:sz w:val="24"/>
                    </w:rPr>
                    <w:t xml:space="preserve">, sócio da banca que leva seu nome, a decisão do ministro Alexandre de Morais não encerra a discussão, apenas diz que ele entende não ser o caso de conceder liminar. Contudo, o caso ainda terá que ter seu mérito analisado pelo Plenário. Quanto a isso, </w:t>
                  </w:r>
                  <w:proofErr w:type="spellStart"/>
                  <w:r w:rsidRPr="006D1B5F">
                    <w:rPr>
                      <w:rStyle w:val="RefernciaSutil"/>
                      <w:sz w:val="24"/>
                    </w:rPr>
                    <w:t>Nichele</w:t>
                  </w:r>
                  <w:proofErr w:type="spellEnd"/>
                  <w:r w:rsidRPr="006D1B5F">
                    <w:rPr>
                      <w:rStyle w:val="RefernciaSutil"/>
                      <w:sz w:val="24"/>
                    </w:rPr>
                    <w:t xml:space="preserve"> ressalta que como a Lei Complementar nº 190 foi publicada</w:t>
                  </w:r>
                </w:p>
                <w:p w14:paraId="3DCD5DF8" w14:textId="5EA0B41B" w:rsidR="006D1B5F" w:rsidRPr="006D1B5F" w:rsidRDefault="006D1B5F" w:rsidP="006D1B5F">
                  <w:pPr>
                    <w:rPr>
                      <w:rStyle w:val="RefernciaSutil"/>
                      <w:sz w:val="24"/>
                    </w:rPr>
                  </w:pPr>
                  <w:r w:rsidRPr="006D1B5F">
                    <w:rPr>
                      <w:rStyle w:val="RefernciaSutil"/>
                      <w:sz w:val="24"/>
                    </w:rPr>
                    <w:t xml:space="preserve">Para o tributarista, como a nova lei complementar alterou o local da cobrança do ICMS </w:t>
                  </w:r>
                  <w:proofErr w:type="spellStart"/>
                  <w:r w:rsidRPr="006D1B5F">
                    <w:rPr>
                      <w:rStyle w:val="RefernciaSutil"/>
                      <w:sz w:val="24"/>
                    </w:rPr>
                    <w:t>Difal</w:t>
                  </w:r>
                  <w:proofErr w:type="spellEnd"/>
                  <w:r w:rsidRPr="006D1B5F">
                    <w:rPr>
                      <w:rStyle w:val="RefernciaSutil"/>
                      <w:sz w:val="24"/>
                    </w:rPr>
                    <w:t xml:space="preserve">, pode haver elevação de alíquota de tributo, a depender da situação. Por isso, os prazos para a entrada em vigor da exigência, previstos na </w:t>
                  </w:r>
                  <w:proofErr w:type="spellStart"/>
                  <w:r w:rsidRPr="006D1B5F">
                    <w:rPr>
                      <w:rStyle w:val="RefernciaSutil"/>
                      <w:sz w:val="24"/>
                    </w:rPr>
                    <w:t>Constiuição</w:t>
                  </w:r>
                  <w:proofErr w:type="spellEnd"/>
                  <w:r w:rsidRPr="006D1B5F">
                    <w:rPr>
                      <w:rStyle w:val="RefernciaSutil"/>
                      <w:sz w:val="24"/>
                    </w:rPr>
                    <w:t>, devem ser respeitados.</w:t>
                  </w:r>
                </w:p>
                <w:p w14:paraId="42EEEAA6" w14:textId="77777777" w:rsidR="006D1B5F" w:rsidRPr="006D1B5F" w:rsidRDefault="006D1B5F" w:rsidP="006D1B5F">
                  <w:pPr>
                    <w:rPr>
                      <w:rStyle w:val="RefernciaSutil"/>
                      <w:b/>
                      <w:bCs/>
                      <w:sz w:val="24"/>
                    </w:rPr>
                  </w:pPr>
                  <w:r w:rsidRPr="006D1B5F">
                    <w:rPr>
                      <w:rStyle w:val="RefernciaSutil"/>
                      <w:b/>
                      <w:bCs/>
                      <w:sz w:val="24"/>
                    </w:rPr>
                    <w:t>De acordo com Mauricio Barros, sócio da área tributária do Demarest Advogados, o clima de incerteza continua com a negativa das liminares.</w:t>
                  </w:r>
                </w:p>
                <w:p w14:paraId="5E0DD567" w14:textId="5A73452D" w:rsidR="006D1B5F" w:rsidRPr="006D1B5F" w:rsidRDefault="006D1B5F" w:rsidP="006D1B5F">
                  <w:pPr>
                    <w:rPr>
                      <w:rStyle w:val="RefernciaSutil"/>
                      <w:b/>
                      <w:bCs/>
                      <w:sz w:val="24"/>
                    </w:rPr>
                  </w:pPr>
                  <w:r w:rsidRPr="006D1B5F">
                    <w:rPr>
                      <w:rStyle w:val="RefernciaSutil"/>
                      <w:b/>
                      <w:bCs/>
                      <w:sz w:val="24"/>
                    </w:rPr>
                    <w:t>Pedidos</w:t>
                  </w:r>
                </w:p>
                <w:p w14:paraId="3D5914BF" w14:textId="77777777" w:rsidR="006D1B5F" w:rsidRPr="006D1B5F" w:rsidRDefault="006D1B5F" w:rsidP="006D1B5F">
                  <w:pPr>
                    <w:rPr>
                      <w:rStyle w:val="RefernciaSutil"/>
                      <w:sz w:val="24"/>
                    </w:rPr>
                  </w:pPr>
                  <w:r w:rsidRPr="006D1B5F">
                    <w:rPr>
                      <w:rStyle w:val="RefernciaSutil"/>
                      <w:sz w:val="24"/>
                    </w:rPr>
                    <w:t xml:space="preserve">A primeira ação foi proposta pela </w:t>
                  </w:r>
                  <w:proofErr w:type="spellStart"/>
                  <w:r w:rsidRPr="006D1B5F">
                    <w:rPr>
                      <w:rStyle w:val="RefernciaSutil"/>
                      <w:sz w:val="24"/>
                    </w:rPr>
                    <w:t>Abimaq</w:t>
                  </w:r>
                  <w:proofErr w:type="spellEnd"/>
                  <w:r w:rsidRPr="006D1B5F">
                    <w:rPr>
                      <w:rStyle w:val="RefernciaSutil"/>
                      <w:sz w:val="24"/>
                    </w:rPr>
                    <w:t>, que questionou a previsão da Lei Complementar nº 190, de entrar em vigor na data da publicação, no começo de janeiro. A Associação pediu que a cobrança seja feita somente a partir de janeiro do ano que vem, por causa de previsão constitucional que impede que um imposto seja criado e cobrado no mesmo ano.</w:t>
                  </w:r>
                </w:p>
                <w:p w14:paraId="7333F118" w14:textId="77777777" w:rsidR="006D1B5F" w:rsidRPr="006D1B5F" w:rsidRDefault="006D1B5F" w:rsidP="006D1B5F">
                  <w:pPr>
                    <w:rPr>
                      <w:rStyle w:val="RefernciaSutil"/>
                      <w:sz w:val="24"/>
                    </w:rPr>
                  </w:pPr>
                  <w:r w:rsidRPr="006D1B5F">
                    <w:rPr>
                      <w:rStyle w:val="RefernciaSutil"/>
                      <w:sz w:val="24"/>
                    </w:rPr>
                    <w:t>“Até mesmo os Estados divergem acerca do início da cobrança da exação, gerando grande insegurança jurídica para o contribuinte”, afirma.</w:t>
                  </w:r>
                </w:p>
                <w:p w14:paraId="361ACCB2" w14:textId="77777777" w:rsidR="006D1B5F" w:rsidRPr="006D1B5F" w:rsidRDefault="006D1B5F" w:rsidP="006D1B5F">
                  <w:pPr>
                    <w:rPr>
                      <w:rStyle w:val="RefernciaSutil"/>
                      <w:sz w:val="24"/>
                    </w:rPr>
                  </w:pPr>
                  <w:r w:rsidRPr="006D1B5F">
                    <w:rPr>
                      <w:rStyle w:val="RefernciaSutil"/>
                      <w:sz w:val="24"/>
                    </w:rPr>
                    <w:t>Na ação proposta por Alagoas (ADI 7070), o governador do Estado questionou o fato de o legislador federal decidir suspender a exigência do tributo que vem sendo recolhido normalmente pelos contribuintes desde 2015 a pretexto de modernizar o regime de arrecadação.</w:t>
                  </w:r>
                  <w:r w:rsidRPr="006D1B5F">
                    <w:rPr>
                      <w:rStyle w:val="RefernciaSutil"/>
                      <w:sz w:val="24"/>
                    </w:rPr>
                    <w:t xml:space="preserve"> </w:t>
                  </w:r>
                  <w:r w:rsidRPr="006D1B5F">
                    <w:rPr>
                      <w:rStyle w:val="RefernciaSutil"/>
                      <w:sz w:val="24"/>
                    </w:rPr>
                    <w:t xml:space="preserve">Para o Estado, o conteúdo da norma federal “limita desarrazoadamente” o exercício da competência tributária dos Estados ao interditar temporariamente a exigência do </w:t>
                  </w:r>
                  <w:proofErr w:type="spellStart"/>
                  <w:r w:rsidRPr="006D1B5F">
                    <w:rPr>
                      <w:rStyle w:val="RefernciaSutil"/>
                      <w:sz w:val="24"/>
                    </w:rPr>
                    <w:t>Difal</w:t>
                  </w:r>
                  <w:proofErr w:type="spellEnd"/>
                  <w:r w:rsidRPr="006D1B5F">
                    <w:rPr>
                      <w:rStyle w:val="RefernciaSutil"/>
                      <w:sz w:val="24"/>
                    </w:rPr>
                    <w:t>.</w:t>
                  </w:r>
                </w:p>
                <w:p w14:paraId="53650392" w14:textId="77777777" w:rsidR="006D1B5F" w:rsidRPr="006D1B5F" w:rsidRDefault="006D1B5F" w:rsidP="006D1B5F">
                  <w:pPr>
                    <w:rPr>
                      <w:rStyle w:val="RefernciaSutil"/>
                      <w:sz w:val="24"/>
                    </w:rPr>
                  </w:pPr>
                  <w:r w:rsidRPr="006D1B5F">
                    <w:rPr>
                      <w:rStyle w:val="RefernciaSutil"/>
                      <w:sz w:val="24"/>
                    </w:rPr>
                    <w:t xml:space="preserve">Ainda segundo o governo, a redação introduzida pela Emenda Constitucional nº 87, de 2015, regulada pelo Convênio Confaz nº 93, de 2015, e agora pela Lei Complementar 190, não </w:t>
                  </w:r>
                  <w:proofErr w:type="gramStart"/>
                  <w:r w:rsidRPr="006D1B5F">
                    <w:rPr>
                      <w:rStyle w:val="RefernciaSutil"/>
                      <w:sz w:val="24"/>
                    </w:rPr>
                    <w:t>cria um novo</w:t>
                  </w:r>
                  <w:proofErr w:type="gramEnd"/>
                  <w:r w:rsidRPr="006D1B5F">
                    <w:rPr>
                      <w:rStyle w:val="RefernciaSutil"/>
                      <w:sz w:val="24"/>
                    </w:rPr>
                    <w:t xml:space="preserve"> tributo e nem o majorou. A anterioridade caberia apenas nesses casos, de acordo com o Estado.</w:t>
                  </w:r>
                </w:p>
                <w:p w14:paraId="6546C909" w14:textId="77777777" w:rsidR="006D1B5F" w:rsidRPr="006D1B5F" w:rsidRDefault="006D1B5F" w:rsidP="006D1B5F">
                  <w:pPr>
                    <w:rPr>
                      <w:rStyle w:val="RefernciaSutil"/>
                      <w:b/>
                      <w:bCs/>
                      <w:sz w:val="24"/>
                    </w:rPr>
                  </w:pPr>
                </w:p>
                <w:p w14:paraId="6DB54839" w14:textId="27CD2512" w:rsidR="006D1B5F" w:rsidRPr="006D1B5F" w:rsidRDefault="006D1B5F" w:rsidP="006D1B5F">
                  <w:pPr>
                    <w:rPr>
                      <w:rStyle w:val="RefernciaSutil"/>
                      <w:b/>
                      <w:bCs/>
                      <w:sz w:val="24"/>
                    </w:rPr>
                  </w:pPr>
                </w:p>
                <w:p w14:paraId="0413E8DA" w14:textId="77777777" w:rsidR="006D1B5F" w:rsidRPr="006D1B5F" w:rsidRDefault="006D1B5F" w:rsidP="006D1B5F">
                  <w:pPr>
                    <w:rPr>
                      <w:rStyle w:val="RefernciaSutil"/>
                      <w:sz w:val="24"/>
                    </w:rPr>
                  </w:pPr>
                </w:p>
                <w:p w14:paraId="50A03155" w14:textId="77777777" w:rsidR="006D1B5F" w:rsidRPr="006D1B5F" w:rsidRDefault="006D1B5F" w:rsidP="006D1B5F">
                  <w:pPr>
                    <w:rPr>
                      <w:rStyle w:val="RefernciaSutil"/>
                      <w:sz w:val="24"/>
                    </w:rPr>
                  </w:pPr>
                </w:p>
                <w:p w14:paraId="51F16466" w14:textId="77777777" w:rsidR="006D1B5F" w:rsidRPr="006D1B5F" w:rsidRDefault="006D1B5F" w:rsidP="006D1B5F">
                  <w:pPr>
                    <w:rPr>
                      <w:rStyle w:val="RefernciaSutil"/>
                      <w:sz w:val="24"/>
                    </w:rPr>
                  </w:pPr>
                </w:p>
                <w:p w14:paraId="6C2FD24B" w14:textId="77777777" w:rsidR="006D1B5F" w:rsidRDefault="006D1B5F" w:rsidP="006D1B5F">
                  <w:pPr>
                    <w:rPr>
                      <w:rStyle w:val="RefernciaSutil"/>
                      <w:szCs w:val="20"/>
                    </w:rPr>
                  </w:pPr>
                </w:p>
                <w:p w14:paraId="1E21AD55" w14:textId="77777777" w:rsidR="006D1B5F" w:rsidRDefault="006D1B5F" w:rsidP="006D1B5F">
                  <w:pPr>
                    <w:rPr>
                      <w:rStyle w:val="RefernciaSutil"/>
                      <w:szCs w:val="20"/>
                    </w:rPr>
                  </w:pPr>
                </w:p>
                <w:p w14:paraId="156E28D0" w14:textId="77777777" w:rsidR="006D1B5F" w:rsidRPr="006D1B5F" w:rsidRDefault="006D1B5F" w:rsidP="006D1B5F">
                  <w:pPr>
                    <w:rPr>
                      <w:rStyle w:val="RefernciaSutil"/>
                      <w:szCs w:val="20"/>
                    </w:rPr>
                  </w:pPr>
                </w:p>
                <w:p w14:paraId="5E5C4D3B" w14:textId="099F268A" w:rsidR="006D1B5F" w:rsidRDefault="006D1B5F" w:rsidP="003961BA">
                  <w:pPr>
                    <w:rPr>
                      <w:rStyle w:val="RefernciaSutil"/>
                      <w:szCs w:val="20"/>
                    </w:rPr>
                  </w:pPr>
                </w:p>
                <w:p w14:paraId="3996202D" w14:textId="77777777" w:rsidR="006D1B5F" w:rsidRDefault="006D1B5F" w:rsidP="003961BA">
                  <w:pPr>
                    <w:rPr>
                      <w:rStyle w:val="RefernciaSutil"/>
                      <w:szCs w:val="20"/>
                    </w:rPr>
                  </w:pPr>
                </w:p>
                <w:p w14:paraId="010ACB4D" w14:textId="77777777" w:rsidR="006D1B5F" w:rsidRDefault="006D1B5F" w:rsidP="003961BA">
                  <w:pPr>
                    <w:rPr>
                      <w:rStyle w:val="RefernciaSutil"/>
                      <w:szCs w:val="20"/>
                    </w:rPr>
                  </w:pPr>
                </w:p>
                <w:p w14:paraId="2559D357" w14:textId="77777777" w:rsidR="006D1B5F" w:rsidRDefault="006D1B5F" w:rsidP="003961BA">
                  <w:pPr>
                    <w:rPr>
                      <w:rStyle w:val="RefernciaSutil"/>
                      <w:szCs w:val="20"/>
                    </w:rPr>
                  </w:pPr>
                </w:p>
                <w:p w14:paraId="738345BE" w14:textId="77777777" w:rsidR="003961BA" w:rsidRDefault="003961BA" w:rsidP="003961BA">
                  <w:pPr>
                    <w:rPr>
                      <w:rStyle w:val="RefernciaSutil"/>
                      <w:szCs w:val="20"/>
                    </w:rPr>
                  </w:pPr>
                </w:p>
                <w:p w14:paraId="63C26F42" w14:textId="77777777" w:rsidR="003961BA" w:rsidRPr="003961BA" w:rsidRDefault="003961BA" w:rsidP="003961BA">
                  <w:pPr>
                    <w:rPr>
                      <w:rStyle w:val="RefernciaSutil"/>
                      <w:szCs w:val="20"/>
                    </w:rPr>
                  </w:pPr>
                </w:p>
                <w:p w14:paraId="47C34A92" w14:textId="339E2275" w:rsidR="00BB3126" w:rsidRDefault="00BB3126" w:rsidP="00BB3126">
                  <w:pPr>
                    <w:rPr>
                      <w:rStyle w:val="RefernciaSutil"/>
                      <w:szCs w:val="20"/>
                    </w:rPr>
                  </w:pPr>
                </w:p>
                <w:p w14:paraId="549CABDC" w14:textId="77777777" w:rsidR="003961BA" w:rsidRDefault="003961BA" w:rsidP="00BB3126">
                  <w:pPr>
                    <w:rPr>
                      <w:rStyle w:val="RefernciaSutil"/>
                      <w:szCs w:val="20"/>
                    </w:rPr>
                  </w:pPr>
                </w:p>
                <w:p w14:paraId="30C8C6BE" w14:textId="77777777" w:rsidR="00BB3126" w:rsidRDefault="00BB3126" w:rsidP="00BB3126">
                  <w:pPr>
                    <w:rPr>
                      <w:rStyle w:val="RefernciaSutil"/>
                      <w:szCs w:val="20"/>
                    </w:rPr>
                  </w:pPr>
                </w:p>
                <w:p w14:paraId="257645BC" w14:textId="77777777" w:rsidR="00BB3126" w:rsidRPr="00BB3126" w:rsidRDefault="00BB3126" w:rsidP="00BB3126">
                  <w:pPr>
                    <w:rPr>
                      <w:rStyle w:val="RefernciaSutil"/>
                      <w:szCs w:val="20"/>
                    </w:rPr>
                  </w:pPr>
                </w:p>
                <w:p w14:paraId="2A0FD199" w14:textId="6800F0BE" w:rsidR="0051292F" w:rsidRDefault="0051292F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07209B71" w14:textId="77777777" w:rsidR="00BB3126" w:rsidRDefault="00BB3126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0CF7F77D" w14:textId="77777777" w:rsidR="00BB3126" w:rsidRDefault="00BB3126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421B7C83" w14:textId="77777777" w:rsidR="00BB3126" w:rsidRDefault="00BB3126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706AD00D" w14:textId="77777777" w:rsidR="00BB3126" w:rsidRDefault="00BB3126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17E67829" w14:textId="77777777" w:rsidR="0051292F" w:rsidRDefault="0051292F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479CE70A" w14:textId="77777777" w:rsidR="0051292F" w:rsidRDefault="0051292F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405C5CE5" w14:textId="77777777" w:rsidR="0051292F" w:rsidRDefault="0051292F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6BCE8DB8" w14:textId="77777777" w:rsidR="0051292F" w:rsidRPr="0051292F" w:rsidRDefault="0051292F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1C68EC34" w14:textId="72F22181" w:rsidR="0051292F" w:rsidRDefault="0051292F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4DFC537D" w14:textId="77777777" w:rsidR="0051292F" w:rsidRDefault="0051292F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73990B63" w14:textId="77777777" w:rsidR="0051292F" w:rsidRDefault="0051292F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22E99D2F" w14:textId="77777777" w:rsidR="0051292F" w:rsidRPr="0051292F" w:rsidRDefault="0051292F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2B2DDD30" w14:textId="31097529" w:rsidR="0051292F" w:rsidRDefault="0051292F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52E07492" w14:textId="77777777" w:rsidR="0051292F" w:rsidRDefault="0051292F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067EC4A4" w14:textId="77777777" w:rsidR="0051292F" w:rsidRDefault="0051292F" w:rsidP="0051292F">
                  <w:pPr>
                    <w:rPr>
                      <w:rStyle w:val="RefernciaSutil"/>
                      <w:szCs w:val="20"/>
                    </w:rPr>
                  </w:pPr>
                </w:p>
                <w:p w14:paraId="1EDEE6F5" w14:textId="31C1E505" w:rsidR="006215C8" w:rsidRDefault="006215C8" w:rsidP="006215C8">
                  <w:pPr>
                    <w:jc w:val="center"/>
                    <w:rPr>
                      <w:rStyle w:val="RefernciaSutil"/>
                      <w:szCs w:val="20"/>
                    </w:rPr>
                  </w:pPr>
                </w:p>
                <w:p w14:paraId="61BB433D" w14:textId="77777777" w:rsidR="006215C8" w:rsidRDefault="006215C8" w:rsidP="006215C8">
                  <w:pPr>
                    <w:rPr>
                      <w:rStyle w:val="RefernciaSutil"/>
                      <w:szCs w:val="20"/>
                    </w:rPr>
                  </w:pPr>
                </w:p>
                <w:p w14:paraId="055F8432" w14:textId="77777777" w:rsidR="006215C8" w:rsidRDefault="006215C8" w:rsidP="006215C8">
                  <w:pPr>
                    <w:rPr>
                      <w:rStyle w:val="RefernciaSutil"/>
                      <w:szCs w:val="20"/>
                    </w:rPr>
                  </w:pPr>
                </w:p>
                <w:p w14:paraId="173E25C3" w14:textId="77777777" w:rsidR="006215C8" w:rsidRDefault="006215C8" w:rsidP="006215C8">
                  <w:pPr>
                    <w:rPr>
                      <w:rStyle w:val="RefernciaSutil"/>
                      <w:szCs w:val="20"/>
                    </w:rPr>
                  </w:pPr>
                </w:p>
                <w:p w14:paraId="58F9CA50" w14:textId="77777777" w:rsidR="006215C8" w:rsidRDefault="006215C8" w:rsidP="006215C8">
                  <w:pPr>
                    <w:rPr>
                      <w:rStyle w:val="RefernciaSutil"/>
                      <w:szCs w:val="20"/>
                    </w:rPr>
                  </w:pPr>
                </w:p>
                <w:p w14:paraId="50C7AED6" w14:textId="77777777" w:rsidR="006215C8" w:rsidRDefault="006215C8" w:rsidP="006215C8">
                  <w:pPr>
                    <w:rPr>
                      <w:rStyle w:val="RefernciaSutil"/>
                      <w:szCs w:val="20"/>
                    </w:rPr>
                  </w:pPr>
                </w:p>
                <w:p w14:paraId="5314E42B" w14:textId="77777777" w:rsidR="006215C8" w:rsidRDefault="006215C8" w:rsidP="006215C8">
                  <w:pPr>
                    <w:rPr>
                      <w:rStyle w:val="RefernciaSutil"/>
                      <w:szCs w:val="20"/>
                    </w:rPr>
                  </w:pPr>
                </w:p>
                <w:p w14:paraId="02D733FB" w14:textId="77777777" w:rsidR="006215C8" w:rsidRDefault="006215C8" w:rsidP="006215C8">
                  <w:pPr>
                    <w:rPr>
                      <w:rStyle w:val="RefernciaSutil"/>
                      <w:szCs w:val="20"/>
                    </w:rPr>
                  </w:pPr>
                </w:p>
                <w:p w14:paraId="44B877D3" w14:textId="77777777" w:rsidR="006215C8" w:rsidRDefault="006215C8" w:rsidP="006215C8">
                  <w:pPr>
                    <w:rPr>
                      <w:rStyle w:val="RefernciaSutil"/>
                      <w:szCs w:val="20"/>
                    </w:rPr>
                  </w:pPr>
                </w:p>
                <w:p w14:paraId="194E73BE" w14:textId="77777777" w:rsidR="006215C8" w:rsidRDefault="006215C8" w:rsidP="006215C8">
                  <w:pPr>
                    <w:rPr>
                      <w:rStyle w:val="RefernciaSutil"/>
                      <w:szCs w:val="20"/>
                    </w:rPr>
                  </w:pPr>
                </w:p>
                <w:p w14:paraId="104E6C4F" w14:textId="77777777" w:rsidR="006215C8" w:rsidRDefault="006215C8" w:rsidP="006215C8">
                  <w:pPr>
                    <w:rPr>
                      <w:rStyle w:val="RefernciaSutil"/>
                      <w:szCs w:val="20"/>
                    </w:rPr>
                  </w:pPr>
                </w:p>
                <w:p w14:paraId="615E57F8" w14:textId="77777777" w:rsidR="006215C8" w:rsidRDefault="006215C8" w:rsidP="006215C8">
                  <w:pPr>
                    <w:rPr>
                      <w:rStyle w:val="RefernciaSutil"/>
                      <w:szCs w:val="20"/>
                    </w:rPr>
                  </w:pPr>
                </w:p>
                <w:p w14:paraId="272AC07D" w14:textId="77777777" w:rsidR="006215C8" w:rsidRPr="006215C8" w:rsidRDefault="006215C8" w:rsidP="006215C8">
                  <w:pPr>
                    <w:rPr>
                      <w:rStyle w:val="RefernciaSutil"/>
                      <w:szCs w:val="20"/>
                    </w:rPr>
                  </w:pPr>
                </w:p>
                <w:p w14:paraId="70390DDD" w14:textId="15EF782D" w:rsidR="006215C8" w:rsidRDefault="006215C8" w:rsidP="006215C8">
                  <w:pPr>
                    <w:rPr>
                      <w:rStyle w:val="RefernciaSutil"/>
                      <w:szCs w:val="20"/>
                    </w:rPr>
                  </w:pPr>
                </w:p>
                <w:p w14:paraId="1EE20DB9" w14:textId="77777777" w:rsidR="006215C8" w:rsidRPr="006215C8" w:rsidRDefault="006215C8" w:rsidP="006215C8">
                  <w:pPr>
                    <w:rPr>
                      <w:rStyle w:val="RefernciaSutil"/>
                      <w:szCs w:val="20"/>
                    </w:rPr>
                  </w:pPr>
                </w:p>
                <w:p w14:paraId="35421218" w14:textId="5502C35B" w:rsidR="00DB6DBD" w:rsidRDefault="00DB6DBD" w:rsidP="00DB6DBD">
                  <w:pPr>
                    <w:jc w:val="center"/>
                    <w:rPr>
                      <w:rStyle w:val="RefernciaSutil"/>
                      <w:szCs w:val="20"/>
                    </w:rPr>
                  </w:pPr>
                </w:p>
                <w:p w14:paraId="660D553F" w14:textId="77777777" w:rsidR="006215C8" w:rsidRDefault="006215C8" w:rsidP="00DB6DBD">
                  <w:pPr>
                    <w:jc w:val="center"/>
                    <w:rPr>
                      <w:rStyle w:val="RefernciaSutil"/>
                      <w:szCs w:val="20"/>
                    </w:rPr>
                  </w:pPr>
                </w:p>
                <w:p w14:paraId="662125B6" w14:textId="663D9AB0" w:rsidR="008E5665" w:rsidRDefault="008E5665" w:rsidP="008E5665">
                  <w:pPr>
                    <w:jc w:val="center"/>
                    <w:rPr>
                      <w:rStyle w:val="RefernciaSutil"/>
                      <w:sz w:val="24"/>
                    </w:rPr>
                  </w:pPr>
                </w:p>
                <w:p w14:paraId="6176FD0C" w14:textId="77777777" w:rsidR="001E50F9" w:rsidRPr="001E50F9" w:rsidRDefault="001E50F9" w:rsidP="001E50F9">
                  <w:pPr>
                    <w:rPr>
                      <w:rStyle w:val="RefernciaSutil"/>
                      <w:sz w:val="24"/>
                    </w:rPr>
                  </w:pPr>
                </w:p>
                <w:p w14:paraId="2A948DBC" w14:textId="4047EDE3" w:rsidR="001E50F9" w:rsidRDefault="001E50F9" w:rsidP="001E50F9">
                  <w:pPr>
                    <w:rPr>
                      <w:rStyle w:val="RefernciaSutil"/>
                      <w:sz w:val="24"/>
                    </w:rPr>
                  </w:pPr>
                </w:p>
                <w:p w14:paraId="227DF97B" w14:textId="77777777" w:rsidR="001E50F9" w:rsidRDefault="001E50F9" w:rsidP="001E50F9">
                  <w:pPr>
                    <w:rPr>
                      <w:rStyle w:val="RefernciaSutil"/>
                      <w:sz w:val="24"/>
                    </w:rPr>
                  </w:pPr>
                </w:p>
                <w:p w14:paraId="032AFC2C" w14:textId="77777777" w:rsidR="001E50F9" w:rsidRDefault="001E50F9" w:rsidP="001E50F9">
                  <w:pPr>
                    <w:rPr>
                      <w:rStyle w:val="RefernciaSutil"/>
                      <w:sz w:val="24"/>
                    </w:rPr>
                  </w:pPr>
                </w:p>
                <w:p w14:paraId="53F0B0AB" w14:textId="77777777" w:rsidR="001E50F9" w:rsidRPr="001E50F9" w:rsidRDefault="001E50F9" w:rsidP="001E50F9">
                  <w:pPr>
                    <w:rPr>
                      <w:rStyle w:val="RefernciaSutil"/>
                      <w:sz w:val="24"/>
                    </w:rPr>
                  </w:pPr>
                </w:p>
                <w:p w14:paraId="14433D4F" w14:textId="5B7690E3" w:rsidR="001E50F9" w:rsidRDefault="001E50F9" w:rsidP="001E50F9">
                  <w:pPr>
                    <w:rPr>
                      <w:rStyle w:val="RefernciaSutil"/>
                      <w:sz w:val="24"/>
                    </w:rPr>
                  </w:pPr>
                </w:p>
                <w:p w14:paraId="6EA13412" w14:textId="77777777" w:rsidR="001E50F9" w:rsidRPr="001E50F9" w:rsidRDefault="001E50F9" w:rsidP="001E50F9">
                  <w:pPr>
                    <w:rPr>
                      <w:rStyle w:val="RefernciaSutil"/>
                      <w:sz w:val="24"/>
                    </w:rPr>
                  </w:pPr>
                </w:p>
                <w:p w14:paraId="7293C54E" w14:textId="77777777" w:rsidR="001E50F9" w:rsidRPr="001E50F9" w:rsidRDefault="001E50F9" w:rsidP="001E50F9">
                  <w:pPr>
                    <w:rPr>
                      <w:rStyle w:val="RefernciaSutil"/>
                      <w:sz w:val="24"/>
                    </w:rPr>
                  </w:pPr>
                </w:p>
                <w:p w14:paraId="5EB93AFD" w14:textId="5F45B48C" w:rsidR="001E50F9" w:rsidRDefault="001E50F9" w:rsidP="001E50F9">
                  <w:pPr>
                    <w:rPr>
                      <w:rStyle w:val="RefernciaSutil"/>
                      <w:sz w:val="24"/>
                    </w:rPr>
                  </w:pPr>
                </w:p>
                <w:p w14:paraId="102C48BC" w14:textId="77777777" w:rsidR="001E50F9" w:rsidRDefault="001E50F9" w:rsidP="001E50F9">
                  <w:pPr>
                    <w:rPr>
                      <w:rStyle w:val="RefernciaSutil"/>
                      <w:sz w:val="24"/>
                    </w:rPr>
                  </w:pPr>
                </w:p>
                <w:p w14:paraId="25A6298D" w14:textId="77777777" w:rsidR="001E50F9" w:rsidRPr="001E50F9" w:rsidRDefault="001E50F9" w:rsidP="001E50F9">
                  <w:pPr>
                    <w:rPr>
                      <w:rStyle w:val="RefernciaSutil"/>
                      <w:sz w:val="24"/>
                    </w:rPr>
                  </w:pPr>
                </w:p>
                <w:p w14:paraId="34EDD9F6" w14:textId="615605C0" w:rsidR="001E50F9" w:rsidRDefault="001E50F9" w:rsidP="0097178B">
                  <w:pPr>
                    <w:rPr>
                      <w:rStyle w:val="RefernciaSutil"/>
                      <w:sz w:val="24"/>
                    </w:rPr>
                  </w:pPr>
                </w:p>
                <w:p w14:paraId="3C278A11" w14:textId="77777777" w:rsidR="001E50F9" w:rsidRPr="0097178B" w:rsidRDefault="001E50F9" w:rsidP="0097178B">
                  <w:pPr>
                    <w:rPr>
                      <w:rStyle w:val="RefernciaSutil"/>
                      <w:szCs w:val="20"/>
                    </w:rPr>
                  </w:pPr>
                </w:p>
                <w:p w14:paraId="5098EAD8" w14:textId="77777777" w:rsidR="0097178B" w:rsidRDefault="0097178B" w:rsidP="0097178B">
                  <w:pPr>
                    <w:rPr>
                      <w:rStyle w:val="RefernciaSutil"/>
                      <w:szCs w:val="20"/>
                    </w:rPr>
                  </w:pPr>
                </w:p>
                <w:p w14:paraId="304BAEF3" w14:textId="1576355E" w:rsidR="0097178B" w:rsidRPr="0097178B" w:rsidRDefault="0097178B" w:rsidP="0097178B">
                  <w:pPr>
                    <w:rPr>
                      <w:rStyle w:val="RefernciaSutil"/>
                      <w:szCs w:val="20"/>
                    </w:rPr>
                  </w:pPr>
                </w:p>
                <w:p w14:paraId="7F5D8594" w14:textId="77777777" w:rsidR="0097178B" w:rsidRPr="0097178B" w:rsidRDefault="0097178B" w:rsidP="0097178B">
                  <w:pPr>
                    <w:rPr>
                      <w:rStyle w:val="RefernciaSutil"/>
                      <w:szCs w:val="20"/>
                    </w:rPr>
                  </w:pPr>
                </w:p>
                <w:p w14:paraId="7CC371AC" w14:textId="7D3841D9" w:rsidR="0097178B" w:rsidRDefault="0097178B" w:rsidP="0097178B">
                  <w:pPr>
                    <w:rPr>
                      <w:rStyle w:val="RefernciaSutil"/>
                      <w:szCs w:val="20"/>
                    </w:rPr>
                  </w:pPr>
                </w:p>
                <w:p w14:paraId="724324BB" w14:textId="77777777" w:rsidR="0097178B" w:rsidRPr="0097178B" w:rsidRDefault="0097178B" w:rsidP="0097178B">
                  <w:pPr>
                    <w:rPr>
                      <w:rStyle w:val="RefernciaSutil"/>
                      <w:szCs w:val="20"/>
                    </w:rPr>
                  </w:pPr>
                </w:p>
                <w:p w14:paraId="1CB98DFB" w14:textId="1E45A221" w:rsidR="0097178B" w:rsidRDefault="0097178B" w:rsidP="0097178B">
                  <w:pPr>
                    <w:rPr>
                      <w:rStyle w:val="RefernciaSutil"/>
                      <w:szCs w:val="20"/>
                    </w:rPr>
                  </w:pPr>
                </w:p>
                <w:p w14:paraId="70699890" w14:textId="77777777" w:rsidR="0097178B" w:rsidRPr="0097178B" w:rsidRDefault="0097178B" w:rsidP="0097178B">
                  <w:pPr>
                    <w:rPr>
                      <w:rStyle w:val="RefernciaSutil"/>
                      <w:szCs w:val="20"/>
                    </w:rPr>
                  </w:pPr>
                </w:p>
                <w:p w14:paraId="68A6969A" w14:textId="15BA4F25" w:rsidR="0097178B" w:rsidRDefault="0097178B" w:rsidP="0097178B">
                  <w:pPr>
                    <w:rPr>
                      <w:rStyle w:val="RefernciaSutil"/>
                      <w:szCs w:val="20"/>
                    </w:rPr>
                  </w:pPr>
                </w:p>
                <w:p w14:paraId="277AF990" w14:textId="77777777" w:rsidR="0097178B" w:rsidRPr="0097178B" w:rsidRDefault="0097178B" w:rsidP="0097178B">
                  <w:pPr>
                    <w:rPr>
                      <w:rStyle w:val="RefernciaSutil"/>
                      <w:szCs w:val="20"/>
                    </w:rPr>
                  </w:pPr>
                </w:p>
                <w:p w14:paraId="5AFB926F" w14:textId="002D8B43" w:rsidR="0097178B" w:rsidRDefault="0097178B" w:rsidP="006016FF">
                  <w:pPr>
                    <w:rPr>
                      <w:rStyle w:val="RefernciaSutil"/>
                      <w:szCs w:val="20"/>
                    </w:rPr>
                  </w:pPr>
                </w:p>
                <w:p w14:paraId="6E444222" w14:textId="77777777" w:rsidR="0097178B" w:rsidRDefault="0097178B" w:rsidP="006016FF">
                  <w:pPr>
                    <w:rPr>
                      <w:rStyle w:val="RefernciaSutil"/>
                      <w:szCs w:val="20"/>
                    </w:rPr>
                  </w:pPr>
                </w:p>
                <w:p w14:paraId="0BA02C81" w14:textId="77777777" w:rsidR="007C270E" w:rsidRPr="006016FF" w:rsidRDefault="007C270E" w:rsidP="006016FF">
                  <w:pPr>
                    <w:rPr>
                      <w:rStyle w:val="RefernciaSutil"/>
                      <w:szCs w:val="20"/>
                    </w:rPr>
                  </w:pPr>
                </w:p>
                <w:p w14:paraId="271DC9F9" w14:textId="04D1E1EB" w:rsidR="006016FF" w:rsidRDefault="006016FF" w:rsidP="006016FF">
                  <w:pPr>
                    <w:rPr>
                      <w:rStyle w:val="RefernciaSutil"/>
                      <w:szCs w:val="20"/>
                    </w:rPr>
                  </w:pPr>
                </w:p>
                <w:p w14:paraId="02D4B065" w14:textId="77777777" w:rsidR="006016FF" w:rsidRPr="006016FF" w:rsidRDefault="006016FF" w:rsidP="006016FF">
                  <w:pPr>
                    <w:rPr>
                      <w:rStyle w:val="RefernciaSutil"/>
                      <w:szCs w:val="20"/>
                    </w:rPr>
                  </w:pPr>
                </w:p>
                <w:p w14:paraId="2370D10C" w14:textId="0C5C2E94" w:rsidR="006016FF" w:rsidRDefault="006016FF" w:rsidP="006016FF">
                  <w:pPr>
                    <w:rPr>
                      <w:rStyle w:val="RefernciaSutil"/>
                      <w:szCs w:val="20"/>
                    </w:rPr>
                  </w:pPr>
                </w:p>
                <w:p w14:paraId="477395BE" w14:textId="77777777" w:rsidR="006016FF" w:rsidRPr="006016FF" w:rsidRDefault="006016FF" w:rsidP="006016FF">
                  <w:pPr>
                    <w:rPr>
                      <w:rStyle w:val="RefernciaSutil"/>
                      <w:szCs w:val="20"/>
                    </w:rPr>
                  </w:pPr>
                </w:p>
                <w:p w14:paraId="05BC8AC7" w14:textId="6C3B894C" w:rsidR="00636CA5" w:rsidRDefault="00636CA5" w:rsidP="003D5FB3">
                  <w:pPr>
                    <w:rPr>
                      <w:rStyle w:val="RefernciaSutil"/>
                      <w:szCs w:val="20"/>
                    </w:rPr>
                  </w:pPr>
                </w:p>
                <w:p w14:paraId="430F1661" w14:textId="77777777" w:rsidR="006016FF" w:rsidRPr="00636CA5" w:rsidRDefault="006016FF" w:rsidP="003D5FB3">
                  <w:pPr>
                    <w:rPr>
                      <w:rStyle w:val="RefernciaSutil"/>
                      <w:szCs w:val="20"/>
                    </w:rPr>
                  </w:pPr>
                </w:p>
                <w:p w14:paraId="1D39F550" w14:textId="77777777" w:rsidR="00C233C4" w:rsidRDefault="00C233C4" w:rsidP="006F6E91">
                  <w:pPr>
                    <w:jc w:val="center"/>
                    <w:rPr>
                      <w:rStyle w:val="RefernciaSutil"/>
                      <w:szCs w:val="20"/>
                    </w:rPr>
                  </w:pPr>
                </w:p>
                <w:p w14:paraId="6F2BC4EF" w14:textId="77777777" w:rsidR="00C233C4" w:rsidRDefault="00C233C4" w:rsidP="006F6E91">
                  <w:pPr>
                    <w:jc w:val="center"/>
                    <w:rPr>
                      <w:rStyle w:val="RefernciaSutil"/>
                      <w:szCs w:val="20"/>
                    </w:rPr>
                  </w:pPr>
                </w:p>
                <w:p w14:paraId="1A4C395F" w14:textId="77777777" w:rsidR="00C233C4" w:rsidRDefault="00C233C4" w:rsidP="006F6E91">
                  <w:pPr>
                    <w:jc w:val="center"/>
                    <w:rPr>
                      <w:rStyle w:val="RefernciaSutil"/>
                      <w:szCs w:val="20"/>
                    </w:rPr>
                  </w:pPr>
                </w:p>
                <w:p w14:paraId="65AA11E8" w14:textId="77777777" w:rsidR="00C233C4" w:rsidRDefault="00C233C4" w:rsidP="006F6E91">
                  <w:pPr>
                    <w:jc w:val="center"/>
                    <w:rPr>
                      <w:rStyle w:val="RefernciaSutil"/>
                      <w:szCs w:val="20"/>
                    </w:rPr>
                  </w:pPr>
                </w:p>
                <w:p w14:paraId="04AE3903" w14:textId="77777777" w:rsidR="00C233C4" w:rsidRDefault="00C233C4" w:rsidP="006F6E91">
                  <w:pPr>
                    <w:jc w:val="center"/>
                    <w:rPr>
                      <w:rStyle w:val="RefernciaSutil"/>
                      <w:szCs w:val="20"/>
                    </w:rPr>
                  </w:pPr>
                </w:p>
                <w:p w14:paraId="422B085F" w14:textId="77777777" w:rsidR="00C233C4" w:rsidRDefault="00C233C4" w:rsidP="006F6E91">
                  <w:pPr>
                    <w:jc w:val="center"/>
                  </w:pPr>
                </w:p>
                <w:p w14:paraId="1E632400" w14:textId="63279341" w:rsidR="00580D35" w:rsidRDefault="00580D35" w:rsidP="00C233C4"/>
              </w:tc>
            </w:tr>
          </w:tbl>
          <w:p w14:paraId="3F093355" w14:textId="77777777" w:rsidR="00A97435" w:rsidRPr="00344DFC" w:rsidRDefault="00A97435" w:rsidP="00A97435"/>
        </w:tc>
      </w:tr>
    </w:tbl>
    <w:p w14:paraId="1416BED9" w14:textId="77777777" w:rsidR="005F498C" w:rsidRPr="000846D9" w:rsidRDefault="005F498C" w:rsidP="00344DFC"/>
    <w:sectPr w:rsidR="005F498C" w:rsidRPr="000846D9" w:rsidSect="002A6206">
      <w:footerReference w:type="default" r:id="rId9"/>
      <w:footerReference w:type="first" r:id="rId10"/>
      <w:pgSz w:w="11906" w:h="16838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3C2DA" w14:textId="77777777" w:rsidR="007409CD" w:rsidRDefault="007409CD" w:rsidP="00344DFC">
      <w:r>
        <w:separator/>
      </w:r>
    </w:p>
  </w:endnote>
  <w:endnote w:type="continuationSeparator" w:id="0">
    <w:p w14:paraId="236D7A07" w14:textId="77777777" w:rsidR="007409CD" w:rsidRDefault="007409CD" w:rsidP="003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7E01" w14:textId="77777777" w:rsidR="004A60DD" w:rsidRDefault="006D1B5F" w:rsidP="00344DFC">
    <w:pPr>
      <w:pStyle w:val="Rodap"/>
    </w:pPr>
  </w:p>
  <w:p w14:paraId="1448B2E0" w14:textId="77777777" w:rsidR="00433BB1" w:rsidRDefault="00433BB1" w:rsidP="00344DFC">
    <w:pPr>
      <w:pStyle w:val="Rodap"/>
    </w:pPr>
    <w:r>
      <w:rPr>
        <w:noProof/>
        <w:lang w:eastAsia="pt-BR"/>
      </w:rPr>
      <mc:AlternateContent>
        <mc:Choice Requires="wps">
          <w:drawing>
            <wp:inline distT="0" distB="0" distL="0" distR="0" wp14:anchorId="0A92354A" wp14:editId="2612FB7A">
              <wp:extent cx="6350000" cy="381000"/>
              <wp:effectExtent l="0" t="0" r="12700" b="12700"/>
              <wp:docPr id="4" name="ws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DE969" w14:textId="77777777" w:rsidR="00433BB1" w:rsidRPr="002A6206" w:rsidRDefault="00254A0D" w:rsidP="00344DFC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A6206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DA #10726358 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A92354A" id="_x0000_t202" coordsize="21600,21600" o:spt="202" path="m,l,21600r21600,l21600,xe">
              <v:stroke joinstyle="miter"/>
              <v:path gradientshapeok="t" o:connecttype="rect"/>
            </v:shapetype>
            <v:shape id="wsFOOTER" o:spid="_x0000_s1026" type="#_x0000_t202" style="width:50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" filled="f" stroked="f" strokeweight=".5pt">
              <v:textbox style="mso-fit-shape-to-text:t" inset="0,0,0,0">
                <w:txbxContent>
                  <w:p w14:paraId="670DE969" w14:textId="77777777" w:rsidR="00433BB1" w:rsidRPr="002A6206" w:rsidRDefault="00254A0D" w:rsidP="00344DFC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2A6206">
                      <w:rPr>
                        <w:color w:val="FFFFFF" w:themeColor="background1"/>
                        <w:sz w:val="12"/>
                        <w:szCs w:val="12"/>
                      </w:rPr>
                      <w:t>DA #10726358 v1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D7E9" w14:textId="77777777" w:rsidR="001F4AA0" w:rsidRPr="002A6206" w:rsidRDefault="001F4AA0" w:rsidP="00344DFC">
    <w:pPr>
      <w:pStyle w:val="Rodap"/>
      <w:rPr>
        <w:sz w:val="12"/>
        <w:szCs w:val="12"/>
      </w:rPr>
    </w:pPr>
    <w:r w:rsidRPr="002A6206">
      <w:rPr>
        <w:noProof/>
        <w:sz w:val="12"/>
        <w:szCs w:val="12"/>
        <w:lang w:eastAsia="pt-BR"/>
      </w:rPr>
      <mc:AlternateContent>
        <mc:Choice Requires="wps">
          <w:drawing>
            <wp:inline distT="0" distB="0" distL="0" distR="0" wp14:anchorId="41463583" wp14:editId="3D7FB34A">
              <wp:extent cx="6350000" cy="381000"/>
              <wp:effectExtent l="0" t="0" r="12700" b="12700"/>
              <wp:docPr id="1" name="wsFIRST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2DA103" w14:textId="77777777" w:rsidR="001F4AA0" w:rsidRPr="002A6206" w:rsidRDefault="00254A0D" w:rsidP="00344DFC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A6206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DA #10726358 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1463583" id="_x0000_t202" coordsize="21600,21600" o:spt="202" path="m,l,21600r21600,l21600,xe">
              <v:stroke joinstyle="miter"/>
              <v:path gradientshapeok="t" o:connecttype="rect"/>
            </v:shapetype>
            <v:shape id="wsFIRSTFOOTER" o:spid="_x0000_s1027" type="#_x0000_t202" style="width:50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" filled="f" stroked="f" strokeweight=".5pt">
              <v:textbox style="mso-fit-shape-to-text:t" inset="0,0,0,0">
                <w:txbxContent>
                  <w:p w14:paraId="392DA103" w14:textId="77777777" w:rsidR="001F4AA0" w:rsidRPr="002A6206" w:rsidRDefault="00254A0D" w:rsidP="00344DFC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2A6206">
                      <w:rPr>
                        <w:color w:val="FFFFFF" w:themeColor="background1"/>
                        <w:sz w:val="12"/>
                        <w:szCs w:val="12"/>
                      </w:rPr>
                      <w:t>DA #10726358 v1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49D6A" w14:textId="77777777" w:rsidR="007409CD" w:rsidRDefault="007409CD" w:rsidP="00344DFC">
      <w:r>
        <w:separator/>
      </w:r>
    </w:p>
  </w:footnote>
  <w:footnote w:type="continuationSeparator" w:id="0">
    <w:p w14:paraId="6ABFBC0D" w14:textId="77777777" w:rsidR="007409CD" w:rsidRDefault="007409CD" w:rsidP="0034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CD"/>
    <w:rsid w:val="00012045"/>
    <w:rsid w:val="00016D88"/>
    <w:rsid w:val="00045B28"/>
    <w:rsid w:val="00060982"/>
    <w:rsid w:val="00082E04"/>
    <w:rsid w:val="000846D9"/>
    <w:rsid w:val="000910DF"/>
    <w:rsid w:val="000A6C9A"/>
    <w:rsid w:val="000C595B"/>
    <w:rsid w:val="000E04A7"/>
    <w:rsid w:val="000F4E4D"/>
    <w:rsid w:val="001216C6"/>
    <w:rsid w:val="0012470D"/>
    <w:rsid w:val="00133D94"/>
    <w:rsid w:val="00160156"/>
    <w:rsid w:val="001D02A3"/>
    <w:rsid w:val="001D2BEF"/>
    <w:rsid w:val="001E50F9"/>
    <w:rsid w:val="001F4AA0"/>
    <w:rsid w:val="001F5BC9"/>
    <w:rsid w:val="002076E6"/>
    <w:rsid w:val="00235DB8"/>
    <w:rsid w:val="00254A0D"/>
    <w:rsid w:val="00291D53"/>
    <w:rsid w:val="002A6206"/>
    <w:rsid w:val="0033251B"/>
    <w:rsid w:val="00344DFC"/>
    <w:rsid w:val="00377A53"/>
    <w:rsid w:val="003961BA"/>
    <w:rsid w:val="003D5FB3"/>
    <w:rsid w:val="003F0F78"/>
    <w:rsid w:val="00422041"/>
    <w:rsid w:val="00433BB1"/>
    <w:rsid w:val="004A66B7"/>
    <w:rsid w:val="004C2A55"/>
    <w:rsid w:val="004D1335"/>
    <w:rsid w:val="0051292F"/>
    <w:rsid w:val="005570B0"/>
    <w:rsid w:val="005745DB"/>
    <w:rsid w:val="00580D35"/>
    <w:rsid w:val="00591280"/>
    <w:rsid w:val="005F498C"/>
    <w:rsid w:val="006000BA"/>
    <w:rsid w:val="006016FF"/>
    <w:rsid w:val="006215C8"/>
    <w:rsid w:val="00636CA5"/>
    <w:rsid w:val="0065746C"/>
    <w:rsid w:val="00696802"/>
    <w:rsid w:val="006D1B5F"/>
    <w:rsid w:val="006F6E91"/>
    <w:rsid w:val="0071515F"/>
    <w:rsid w:val="007409CD"/>
    <w:rsid w:val="007C270E"/>
    <w:rsid w:val="007C64A1"/>
    <w:rsid w:val="007C6FE4"/>
    <w:rsid w:val="007D7BDB"/>
    <w:rsid w:val="00815F47"/>
    <w:rsid w:val="00816D0B"/>
    <w:rsid w:val="0083548D"/>
    <w:rsid w:val="0084467D"/>
    <w:rsid w:val="00871F7A"/>
    <w:rsid w:val="00876F4E"/>
    <w:rsid w:val="008A76A4"/>
    <w:rsid w:val="008E5665"/>
    <w:rsid w:val="008E7601"/>
    <w:rsid w:val="008E7A10"/>
    <w:rsid w:val="009516C3"/>
    <w:rsid w:val="009677C1"/>
    <w:rsid w:val="0097178B"/>
    <w:rsid w:val="009731A5"/>
    <w:rsid w:val="009956C7"/>
    <w:rsid w:val="009A4EBC"/>
    <w:rsid w:val="00A05C8F"/>
    <w:rsid w:val="00A2288A"/>
    <w:rsid w:val="00A64902"/>
    <w:rsid w:val="00A83511"/>
    <w:rsid w:val="00A928C5"/>
    <w:rsid w:val="00A97435"/>
    <w:rsid w:val="00AB24E3"/>
    <w:rsid w:val="00AC0F1F"/>
    <w:rsid w:val="00B15077"/>
    <w:rsid w:val="00B36011"/>
    <w:rsid w:val="00B428E0"/>
    <w:rsid w:val="00B87163"/>
    <w:rsid w:val="00BB3126"/>
    <w:rsid w:val="00C10C53"/>
    <w:rsid w:val="00C233C4"/>
    <w:rsid w:val="00C25BFB"/>
    <w:rsid w:val="00C372A6"/>
    <w:rsid w:val="00C66FA3"/>
    <w:rsid w:val="00CD6297"/>
    <w:rsid w:val="00D22C70"/>
    <w:rsid w:val="00D61EED"/>
    <w:rsid w:val="00D63714"/>
    <w:rsid w:val="00D71678"/>
    <w:rsid w:val="00DA2A3B"/>
    <w:rsid w:val="00DB30AE"/>
    <w:rsid w:val="00DB6DBD"/>
    <w:rsid w:val="00DC0B81"/>
    <w:rsid w:val="00DD00F6"/>
    <w:rsid w:val="00E2038B"/>
    <w:rsid w:val="00E27C1C"/>
    <w:rsid w:val="00E75A65"/>
    <w:rsid w:val="00EC6693"/>
    <w:rsid w:val="00F25456"/>
    <w:rsid w:val="00F33E62"/>
    <w:rsid w:val="00F9261E"/>
    <w:rsid w:val="00F97F39"/>
    <w:rsid w:val="00FB350D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0182BCF"/>
  <w15:chartTrackingRefBased/>
  <w15:docId w15:val="{9D51A471-5317-4664-A5AA-6924290D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DFC"/>
    <w:pPr>
      <w:spacing w:after="120" w:line="288" w:lineRule="auto"/>
      <w:jc w:val="both"/>
    </w:pPr>
    <w:rPr>
      <w:rFonts w:asciiTheme="minorHAnsi" w:eastAsiaTheme="majorEastAsia" w:hAnsiTheme="minorHAnsi" w:cstheme="minorHAnsi"/>
      <w:color w:val="00223C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44DFC"/>
    <w:pPr>
      <w:keepNext/>
      <w:keepLines/>
      <w:spacing w:before="40"/>
      <w:outlineLvl w:val="0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05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C8F"/>
  </w:style>
  <w:style w:type="paragraph" w:styleId="Cabealho">
    <w:name w:val="header"/>
    <w:basedOn w:val="Normal"/>
    <w:link w:val="CabealhoChar"/>
    <w:uiPriority w:val="99"/>
    <w:unhideWhenUsed/>
    <w:rsid w:val="00344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DFC"/>
    <w:rPr>
      <w:rFonts w:asciiTheme="minorHAnsi" w:eastAsiaTheme="majorEastAsia" w:hAnsiTheme="minorHAnsi" w:cstheme="minorHAnsi"/>
      <w:color w:val="00223C"/>
      <w:sz w:val="24"/>
      <w:szCs w:val="24"/>
    </w:rPr>
  </w:style>
  <w:style w:type="table" w:styleId="Tabelacomgrade">
    <w:name w:val="Table Grid"/>
    <w:basedOn w:val="Tabelanormal"/>
    <w:uiPriority w:val="39"/>
    <w:rsid w:val="008A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A76A4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44DFC"/>
    <w:rPr>
      <w:rFonts w:asciiTheme="minorHAnsi" w:eastAsiaTheme="majorEastAsia" w:hAnsiTheme="minorHAnsi" w:cstheme="minorHAnsi"/>
      <w:b/>
      <w:color w:val="00223C"/>
      <w:sz w:val="36"/>
      <w:szCs w:val="24"/>
    </w:rPr>
  </w:style>
  <w:style w:type="paragraph" w:styleId="Ttulo">
    <w:name w:val="Title"/>
    <w:basedOn w:val="Ttulo1"/>
    <w:next w:val="Normal"/>
    <w:link w:val="TtuloChar"/>
    <w:uiPriority w:val="10"/>
    <w:qFormat/>
    <w:rsid w:val="00344DFC"/>
    <w:rPr>
      <w:b w:val="0"/>
      <w:color w:val="CD8C5E"/>
    </w:rPr>
  </w:style>
  <w:style w:type="character" w:customStyle="1" w:styleId="TtuloChar">
    <w:name w:val="Título Char"/>
    <w:basedOn w:val="Fontepargpadro"/>
    <w:link w:val="Ttulo"/>
    <w:uiPriority w:val="10"/>
    <w:rsid w:val="00344DFC"/>
    <w:rPr>
      <w:rFonts w:asciiTheme="minorHAnsi" w:eastAsiaTheme="majorEastAsia" w:hAnsiTheme="minorHAnsi" w:cstheme="minorHAnsi"/>
      <w:color w:val="CD8C5E"/>
      <w:sz w:val="36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4DFC"/>
    <w:pPr>
      <w:outlineLvl w:val="3"/>
    </w:pPr>
    <w:rPr>
      <w:color w:val="CD8C5E"/>
      <w:sz w:val="28"/>
    </w:rPr>
  </w:style>
  <w:style w:type="character" w:customStyle="1" w:styleId="SubttuloChar">
    <w:name w:val="Subtítulo Char"/>
    <w:basedOn w:val="Fontepargpadro"/>
    <w:link w:val="Subttulo"/>
    <w:uiPriority w:val="11"/>
    <w:rsid w:val="00344DFC"/>
    <w:rPr>
      <w:rFonts w:asciiTheme="minorHAnsi" w:eastAsiaTheme="majorEastAsia" w:hAnsiTheme="minorHAnsi" w:cstheme="minorHAnsi"/>
      <w:color w:val="CD8C5E"/>
      <w:sz w:val="28"/>
      <w:szCs w:val="24"/>
    </w:rPr>
  </w:style>
  <w:style w:type="character" w:styleId="RefernciaSutil">
    <w:name w:val="Subtle Reference"/>
    <w:aliases w:val="Autor"/>
    <w:uiPriority w:val="31"/>
    <w:qFormat/>
    <w:rsid w:val="00344DFC"/>
    <w:rPr>
      <w:rFonts w:asciiTheme="minorHAnsi" w:eastAsiaTheme="majorEastAsia" w:hAnsiTheme="minorHAnsi" w:cstheme="minorHAnsi"/>
      <w:color w:val="00223C"/>
      <w:sz w:val="20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E760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or.globo.com/legislacao/noticia/2022/05/17/stf-moraes-nega-liminares-sobre-difal.g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CD62-6693-4051-AF0E-7BDDE2B5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de Oliveira Silva | Demarest Advogados</dc:creator>
  <cp:keywords/>
  <dc:description/>
  <cp:lastModifiedBy>Cristiane Santana Sa | Demarest Advogados</cp:lastModifiedBy>
  <cp:revision>2</cp:revision>
  <cp:lastPrinted>2022-05-06T12:57:00Z</cp:lastPrinted>
  <dcterms:created xsi:type="dcterms:W3CDTF">2022-05-18T14:00:00Z</dcterms:created>
  <dcterms:modified xsi:type="dcterms:W3CDTF">2022-05-18T14:00:00Z</dcterms:modified>
</cp:coreProperties>
</file>