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66" w:type="dxa"/>
        <w:jc w:val="center"/>
        <w:tblCellMar>
          <w:top w:w="397" w:type="dxa"/>
          <w:left w:w="0" w:type="dxa"/>
          <w:bottom w:w="397" w:type="dxa"/>
          <w:right w:w="0" w:type="dxa"/>
        </w:tblCellMar>
        <w:tblLook w:val="04A0" w:firstRow="1" w:lastRow="0" w:firstColumn="1" w:lastColumn="0" w:noHBand="0" w:noVBand="1"/>
      </w:tblPr>
      <w:tblGrid>
        <w:gridCol w:w="11466"/>
      </w:tblGrid>
      <w:tr w:rsidR="00C66FA3" w:rsidRPr="000846D9" w14:paraId="5F0313AD" w14:textId="77777777" w:rsidTr="00B76315">
        <w:trPr>
          <w:trHeight w:val="3913"/>
          <w:jc w:val="center"/>
        </w:trPr>
        <w:tc>
          <w:tcPr>
            <w:tcW w:w="11466" w:type="dxa"/>
            <w:shd w:val="clear" w:color="auto" w:fill="auto"/>
            <w:tcMar>
              <w:top w:w="113" w:type="dxa"/>
              <w:left w:w="0" w:type="dxa"/>
              <w:bottom w:w="0" w:type="dxa"/>
              <w:right w:w="0" w:type="dxa"/>
            </w:tcMar>
          </w:tcPr>
          <w:tbl>
            <w:tblPr>
              <w:tblStyle w:val="Tabelacomgrade"/>
              <w:tblW w:w="1077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466"/>
            </w:tblGrid>
            <w:tr w:rsidR="00A97435" w14:paraId="5C68E43F" w14:textId="77777777" w:rsidTr="00A97435">
              <w:trPr>
                <w:jc w:val="center"/>
              </w:trPr>
              <w:tc>
                <w:tcPr>
                  <w:tcW w:w="10772" w:type="dxa"/>
                </w:tcPr>
                <w:p w14:paraId="6DF77AAB" w14:textId="77777777" w:rsidR="00A97435" w:rsidRDefault="007409CD" w:rsidP="00344DFC">
                  <w:pPr>
                    <w:pStyle w:val="Ttulo"/>
                  </w:pPr>
                  <w:r>
                    <w:rPr>
                      <w:noProof/>
                    </w:rPr>
                    <w:drawing>
                      <wp:inline distT="0" distB="0" distL="0" distR="0" wp14:anchorId="47A44CFE" wp14:editId="052A9507">
                        <wp:extent cx="7139305" cy="2377440"/>
                        <wp:effectExtent l="0" t="0" r="4445" b="3810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39305" cy="23774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8344C44" w14:textId="77777777" w:rsidR="006F6E91" w:rsidRDefault="006F6E91" w:rsidP="006F6E91">
                  <w:pPr>
                    <w:pStyle w:val="Ttulo"/>
                    <w:rPr>
                      <w:rFonts w:ascii="Calibri" w:eastAsiaTheme="minorHAnsi" w:hAnsi="Calibri" w:cs="Calibri"/>
                      <w:szCs w:val="36"/>
                    </w:rPr>
                  </w:pPr>
                  <w:r>
                    <w:t xml:space="preserve">Na Mídia </w:t>
                  </w:r>
                </w:p>
                <w:p w14:paraId="395EB23B" w14:textId="68526483" w:rsidR="006F6E91" w:rsidRDefault="00A83377" w:rsidP="006F6E91">
                  <w:pPr>
                    <w:pStyle w:val="Cabealho"/>
                  </w:pPr>
                  <w:r>
                    <w:t>2</w:t>
                  </w:r>
                  <w:r w:rsidR="002F656A">
                    <w:t>6</w:t>
                  </w:r>
                  <w:r w:rsidR="006F6E91">
                    <w:t>/</w:t>
                  </w:r>
                  <w:r w:rsidR="003662EE">
                    <w:t>0</w:t>
                  </w:r>
                  <w:r w:rsidR="002F656A">
                    <w:t>2</w:t>
                  </w:r>
                  <w:r w:rsidR="006F6E91">
                    <w:t>/202</w:t>
                  </w:r>
                  <w:r w:rsidR="003662EE">
                    <w:t>4</w:t>
                  </w:r>
                  <w:r w:rsidR="005B4411">
                    <w:t xml:space="preserve"> | </w:t>
                  </w:r>
                  <w:hyperlink r:id="rId9" w:history="1">
                    <w:r w:rsidR="00444CE3" w:rsidRPr="002F656A">
                      <w:rPr>
                        <w:rStyle w:val="Hyperlink"/>
                      </w:rPr>
                      <w:t>Folha de S. Paulo</w:t>
                    </w:r>
                  </w:hyperlink>
                </w:p>
                <w:p w14:paraId="00E85FFF" w14:textId="77777777" w:rsidR="006F6E91" w:rsidRDefault="006F6E91" w:rsidP="006F6E91">
                  <w:pPr>
                    <w:pStyle w:val="Cabealho"/>
                  </w:pPr>
                </w:p>
                <w:p w14:paraId="75D04B07" w14:textId="77777777" w:rsidR="002F656A" w:rsidRPr="002F656A" w:rsidRDefault="002F656A" w:rsidP="002F656A">
                  <w:pPr>
                    <w:rPr>
                      <w:rFonts w:eastAsia="Times New Roman"/>
                      <w:b/>
                      <w:bCs/>
                      <w:sz w:val="36"/>
                    </w:rPr>
                  </w:pPr>
                  <w:r w:rsidRPr="002F656A">
                    <w:rPr>
                      <w:rFonts w:eastAsia="Times New Roman"/>
                      <w:b/>
                      <w:bCs/>
                      <w:sz w:val="36"/>
                    </w:rPr>
                    <w:t>Empresas oferecem planos corporativos de Previdência Privada para atrair talentos</w:t>
                  </w:r>
                </w:p>
                <w:p w14:paraId="414D5332" w14:textId="77777777" w:rsidR="002F656A" w:rsidRPr="002F656A" w:rsidRDefault="002F656A" w:rsidP="002F656A">
                  <w:pPr>
                    <w:jc w:val="left"/>
                    <w:rPr>
                      <w:color w:val="CD8C5E"/>
                      <w:sz w:val="28"/>
                    </w:rPr>
                  </w:pPr>
                  <w:r w:rsidRPr="002F656A">
                    <w:rPr>
                      <w:color w:val="CD8C5E"/>
                      <w:sz w:val="28"/>
                    </w:rPr>
                    <w:t>Além de ampliar o engajamento dos profissionais, benefício fortalece a marca do empregador</w:t>
                  </w:r>
                </w:p>
                <w:p w14:paraId="35948D17" w14:textId="77777777" w:rsidR="002F656A" w:rsidRPr="002F656A" w:rsidRDefault="002F656A" w:rsidP="002F656A">
                  <w:r w:rsidRPr="002F656A">
                    <w:t>Aportes em planos corporativos de Previdência Privada já figuram nos top 5 benefícios mais desejados pelos profissionais, atrás apenas de assistência médica, vale-refeição, cartão alimentação e assistência odontológica. Os dados são da mais recente pesquisa da Robert Half Consultoria de Recrutamento, que ouviu 1.161 pessoas em maio de 2023.</w:t>
                  </w:r>
                </w:p>
                <w:p w14:paraId="1EF56DF8" w14:textId="77777777" w:rsidR="002F656A" w:rsidRPr="002F656A" w:rsidRDefault="002F656A" w:rsidP="002F656A">
                  <w:r w:rsidRPr="002F656A">
                    <w:t>Fernando Mantovani, diretor-geral da Robert Half para a América do Sul, diz que as companhias já percebem que a oferta de incentivos atrativos não só impulsiona o engajamento dos colaboradores como também fortalece a marca empregadora, tornando-se um diferencial estratégico na disputa pelos melhores talentos do mercado. "Essa abordagem ressalta a importância de adaptar os benefícios às realidades do mercado e às necessidades dos colaboradores, buscando promover um ambiente mais satisfatório e produtivo para as partes", avalia.</w:t>
                  </w:r>
                </w:p>
                <w:p w14:paraId="488888ED" w14:textId="77777777" w:rsidR="002F656A" w:rsidRPr="002F656A" w:rsidRDefault="002F656A" w:rsidP="002F656A">
                  <w:r w:rsidRPr="002F656A">
                    <w:t xml:space="preserve">Segundo Ana Carla Guimarães, diretora de recrutamento executivo na Robert Half, "a Previdência Privada é sonho de 33% dos colaboradores, mesmo que ainda seja oferecida por poucas organizações". O cenário, no entanto, vem mudando. Pela primeira vez, mais da metade das empresas (51%) ofertam Previdência Privada a seus funcionários, revela a pesquisa </w:t>
                  </w:r>
                  <w:proofErr w:type="spellStart"/>
                  <w:r w:rsidRPr="002F656A">
                    <w:t>Mercer</w:t>
                  </w:r>
                  <w:proofErr w:type="spellEnd"/>
                  <w:r w:rsidRPr="002F656A">
                    <w:t xml:space="preserve"> Marsh Benefícios, que entrevistou 850 empresas no ano passado. "A melhoria da saúde financeira é um importante pilar para a construção do bem-estar integral dos colaboradores", avalia Thiago Calçada, líder de Previdência da consultoria.</w:t>
                  </w:r>
                </w:p>
                <w:p w14:paraId="38F9D107" w14:textId="77777777" w:rsidR="002F656A" w:rsidRPr="002F656A" w:rsidRDefault="002F656A" w:rsidP="002F656A">
                  <w:pPr>
                    <w:rPr>
                      <w:b/>
                      <w:bCs/>
                    </w:rPr>
                  </w:pPr>
                  <w:r w:rsidRPr="002F656A">
                    <w:rPr>
                      <w:b/>
                      <w:bCs/>
                    </w:rPr>
                    <w:t>VANTAGENS</w:t>
                  </w:r>
                </w:p>
                <w:p w14:paraId="62D4C6B8" w14:textId="77777777" w:rsidR="002F656A" w:rsidRPr="002F656A" w:rsidRDefault="002F656A" w:rsidP="002F656A">
                  <w:pPr>
                    <w:rPr>
                      <w:b/>
                      <w:bCs/>
                    </w:rPr>
                  </w:pPr>
                  <w:r w:rsidRPr="002F656A">
                    <w:rPr>
                      <w:b/>
                      <w:bCs/>
                    </w:rPr>
                    <w:t>Além de atrair e reter talentos, Camila Prado, sócia da área de Seguros e Previdência Privada do escritório Demarest Advogados, cita os incentivos fiscais como uma das vantagens na oferta de planos corporativos de Previdência Privada: "A empresa que optar pelo regime tributário de Lucro Real pode abater parte do valor investido de seu Imposto de Renda (IRPJ) – até o limite de 25% do total das contribuições feitas por ela – e da Contribuição Social sobre o Lucro Líquido (CSLL) – no limite de 9%".</w:t>
                  </w:r>
                </w:p>
                <w:p w14:paraId="17D85E22" w14:textId="77777777" w:rsidR="002F656A" w:rsidRPr="002F656A" w:rsidRDefault="002F656A" w:rsidP="002F656A">
                  <w:pPr>
                    <w:rPr>
                      <w:b/>
                      <w:bCs/>
                    </w:rPr>
                  </w:pPr>
                  <w:r w:rsidRPr="002F656A">
                    <w:rPr>
                      <w:b/>
                      <w:bCs/>
                    </w:rPr>
                    <w:lastRenderedPageBreak/>
                    <w:t>Em regra, toda e qualquer empresa pode oferecer Previdência complementar no seu pacote de benefícios, independentemente do porte, do setor de atuação ou do número de funcionários. Mas, de acordo com a Lei Complementar nº 109/2001, "é obrigatório que ele seja estendido a todos empregados, inclusive gerentes, diretores, conselheiros ocupantes de cargos eletivos e outros dirigentes", diz Prado. "Por outro lado, os colaboradores têm a faculdade de aderir ou não aos planos."</w:t>
                  </w:r>
                </w:p>
                <w:p w14:paraId="56357BF3" w14:textId="34763826" w:rsidR="002F656A" w:rsidRDefault="002F656A" w:rsidP="002F656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80F259C" wp14:editId="1093AAB8">
                        <wp:extent cx="3172270" cy="4156075"/>
                        <wp:effectExtent l="0" t="0" r="9525" b="0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81246" cy="41678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021239E" w14:textId="77777777" w:rsidR="002F656A" w:rsidRPr="002F656A" w:rsidRDefault="002F656A" w:rsidP="002F656A">
                  <w:r w:rsidRPr="002F656A">
                    <w:t>Dentro do plano oferecido, explica a especialista, as organizações podem personalizar regras, especialmente com relação à existência e ao próprio percentual de contribuição feito por ela, que pode variar a depender das faixas de remuneração dos empregados e ao tempo mínimo que o funcionário deve permanecer na empresa para que tenha acesso ao valor total investido.</w:t>
                  </w:r>
                </w:p>
                <w:p w14:paraId="626018B2" w14:textId="77777777" w:rsidR="002F656A" w:rsidRPr="002F656A" w:rsidRDefault="002F656A" w:rsidP="002F656A">
                  <w:r w:rsidRPr="002F656A">
                    <w:t xml:space="preserve">"Os Planos de Previdência Privada devem ser vistos como um investimento a longo prazo, inclusive de forma complementar à aposentadoria do INSS [Instituto Nacional do Seguro Social]", pontua a advogada. "São seguros, uma vez que são fiscalizados pela </w:t>
                  </w:r>
                  <w:proofErr w:type="spellStart"/>
                  <w:r w:rsidRPr="002F656A">
                    <w:t>Previc</w:t>
                  </w:r>
                  <w:proofErr w:type="spellEnd"/>
                  <w:r w:rsidRPr="002F656A">
                    <w:t xml:space="preserve"> [Superintendência Nacional de Previdência Complementar], e uma boa opção para aqueles que não possuem experiência ou desconhecem os riscos associados aos diversos tipos de aplicações financeiras."</w:t>
                  </w:r>
                </w:p>
                <w:p w14:paraId="3654D140" w14:textId="77777777" w:rsidR="002F656A" w:rsidRDefault="002F656A" w:rsidP="002F656A">
                  <w:pPr>
                    <w:jc w:val="left"/>
                    <w:rPr>
                      <w:sz w:val="20"/>
                      <w:szCs w:val="20"/>
                    </w:rPr>
                  </w:pPr>
                </w:p>
                <w:p w14:paraId="22C5F5B1" w14:textId="56056BFE" w:rsidR="00065F33" w:rsidRDefault="00065F33" w:rsidP="00A83377">
                  <w:pPr>
                    <w:jc w:val="left"/>
                  </w:pPr>
                </w:p>
                <w:p w14:paraId="290CDE8B" w14:textId="77777777" w:rsidR="002F656A" w:rsidRDefault="002F656A" w:rsidP="00A83377">
                  <w:pPr>
                    <w:jc w:val="left"/>
                    <w:rPr>
                      <w:sz w:val="20"/>
                      <w:szCs w:val="20"/>
                    </w:rPr>
                  </w:pPr>
                </w:p>
                <w:p w14:paraId="3224F261" w14:textId="77777777" w:rsidR="00065F33" w:rsidRDefault="00065F33" w:rsidP="00A83377">
                  <w:pPr>
                    <w:jc w:val="center"/>
                  </w:pPr>
                </w:p>
                <w:p w14:paraId="3C86C895" w14:textId="77777777" w:rsidR="00A83377" w:rsidRDefault="00A83377" w:rsidP="00A83377">
                  <w:pPr>
                    <w:jc w:val="left"/>
                  </w:pPr>
                </w:p>
                <w:p w14:paraId="223CE6A5" w14:textId="64F877F6" w:rsidR="003662EE" w:rsidRDefault="003662EE" w:rsidP="003662EE">
                  <w:pPr>
                    <w:jc w:val="center"/>
                  </w:pPr>
                </w:p>
                <w:p w14:paraId="4323A208" w14:textId="2B1F0A56" w:rsidR="003662EE" w:rsidRDefault="003662EE" w:rsidP="003662EE">
                  <w:pPr>
                    <w:jc w:val="center"/>
                  </w:pPr>
                </w:p>
                <w:p w14:paraId="22EC851B" w14:textId="77777777" w:rsidR="003662EE" w:rsidRDefault="003662EE" w:rsidP="003662EE"/>
                <w:p w14:paraId="1E632400" w14:textId="777A43EE" w:rsidR="002B4C5A" w:rsidRPr="006470F0" w:rsidRDefault="002B4C5A" w:rsidP="003662EE">
                  <w:pPr>
                    <w:jc w:val="center"/>
                  </w:pPr>
                </w:p>
              </w:tc>
            </w:tr>
          </w:tbl>
          <w:p w14:paraId="3F093355" w14:textId="77777777" w:rsidR="00A97435" w:rsidRPr="00344DFC" w:rsidRDefault="00A97435" w:rsidP="00A97435"/>
        </w:tc>
      </w:tr>
    </w:tbl>
    <w:p w14:paraId="7DA35519" w14:textId="6AEA42F7" w:rsidR="00B76315" w:rsidRPr="000846D9" w:rsidRDefault="00B76315" w:rsidP="00FB233A">
      <w:pPr>
        <w:jc w:val="center"/>
      </w:pPr>
    </w:p>
    <w:sectPr w:rsidR="00B76315" w:rsidRPr="000846D9" w:rsidSect="002A6206">
      <w:footerReference w:type="default" r:id="rId11"/>
      <w:footerReference w:type="first" r:id="rId12"/>
      <w:pgSz w:w="11906" w:h="16838"/>
      <w:pgMar w:top="567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3C2DA" w14:textId="77777777" w:rsidR="007409CD" w:rsidRDefault="007409CD" w:rsidP="00344DFC">
      <w:r>
        <w:separator/>
      </w:r>
    </w:p>
  </w:endnote>
  <w:endnote w:type="continuationSeparator" w:id="0">
    <w:p w14:paraId="236D7A07" w14:textId="77777777" w:rsidR="007409CD" w:rsidRDefault="007409CD" w:rsidP="00344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27E01" w14:textId="77777777" w:rsidR="004A60DD" w:rsidRDefault="002F656A" w:rsidP="00344DFC">
    <w:pPr>
      <w:pStyle w:val="Rodap"/>
    </w:pPr>
  </w:p>
  <w:p w14:paraId="1448B2E0" w14:textId="77777777" w:rsidR="00433BB1" w:rsidRDefault="00433BB1" w:rsidP="00344DFC">
    <w:pPr>
      <w:pStyle w:val="Rodap"/>
    </w:pPr>
    <w:r>
      <w:rPr>
        <w:noProof/>
        <w:lang w:eastAsia="pt-BR"/>
      </w:rPr>
      <mc:AlternateContent>
        <mc:Choice Requires="wps">
          <w:drawing>
            <wp:inline distT="0" distB="0" distL="0" distR="0" wp14:anchorId="0A92354A" wp14:editId="2612FB7A">
              <wp:extent cx="6350000" cy="381000"/>
              <wp:effectExtent l="0" t="0" r="12700" b="12700"/>
              <wp:docPr id="4" name="ws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0DE969" w14:textId="77777777" w:rsidR="00433BB1" w:rsidRPr="002A6206" w:rsidRDefault="00254A0D" w:rsidP="00344DFC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2A6206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DA #10726358 v1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A92354A" id="_x0000_t202" coordsize="21600,21600" o:spt="202" path="m,l,21600r21600,l21600,xe">
              <v:stroke joinstyle="miter"/>
              <v:path gradientshapeok="t" o:connecttype="rect"/>
            </v:shapetype>
            <v:shape id="wsFOOTER" o:spid="_x0000_s1026" type="#_x0000_t202" style="width:50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" filled="f" stroked="f" strokeweight=".5pt">
              <v:textbox style="mso-fit-shape-to-text:t" inset="0,0,0,0">
                <w:txbxContent>
                  <w:p w14:paraId="670DE969" w14:textId="77777777" w:rsidR="00433BB1" w:rsidRPr="002A6206" w:rsidRDefault="00254A0D" w:rsidP="00344DFC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 w:rsidRPr="002A6206">
                      <w:rPr>
                        <w:color w:val="FFFFFF" w:themeColor="background1"/>
                        <w:sz w:val="12"/>
                        <w:szCs w:val="12"/>
                      </w:rPr>
                      <w:t>DA #10726358 v1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1D7E9" w14:textId="77777777" w:rsidR="001F4AA0" w:rsidRPr="002A6206" w:rsidRDefault="001F4AA0" w:rsidP="00344DFC">
    <w:pPr>
      <w:pStyle w:val="Rodap"/>
      <w:rPr>
        <w:sz w:val="12"/>
        <w:szCs w:val="12"/>
      </w:rPr>
    </w:pPr>
    <w:r w:rsidRPr="002A6206">
      <w:rPr>
        <w:noProof/>
        <w:sz w:val="12"/>
        <w:szCs w:val="12"/>
        <w:lang w:eastAsia="pt-BR"/>
      </w:rPr>
      <mc:AlternateContent>
        <mc:Choice Requires="wps">
          <w:drawing>
            <wp:inline distT="0" distB="0" distL="0" distR="0" wp14:anchorId="41463583" wp14:editId="3D7FB34A">
              <wp:extent cx="6350000" cy="381000"/>
              <wp:effectExtent l="0" t="0" r="12700" b="12700"/>
              <wp:docPr id="1" name="wsFIRST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2DA103" w14:textId="77777777" w:rsidR="001F4AA0" w:rsidRPr="002A6206" w:rsidRDefault="00254A0D" w:rsidP="00344DFC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2A6206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DA #10726358 v1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1463583" id="_x0000_t202" coordsize="21600,21600" o:spt="202" path="m,l,21600r21600,l21600,xe">
              <v:stroke joinstyle="miter"/>
              <v:path gradientshapeok="t" o:connecttype="rect"/>
            </v:shapetype>
            <v:shape id="wsFIRSTFOOTER" o:spid="_x0000_s1027" type="#_x0000_t202" style="width:50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" filled="f" stroked="f" strokeweight=".5pt">
              <v:textbox style="mso-fit-shape-to-text:t" inset="0,0,0,0">
                <w:txbxContent>
                  <w:p w14:paraId="392DA103" w14:textId="77777777" w:rsidR="001F4AA0" w:rsidRPr="002A6206" w:rsidRDefault="00254A0D" w:rsidP="00344DFC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 w:rsidRPr="002A6206">
                      <w:rPr>
                        <w:color w:val="FFFFFF" w:themeColor="background1"/>
                        <w:sz w:val="12"/>
                        <w:szCs w:val="12"/>
                      </w:rPr>
                      <w:t>DA #10726358 v1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49D6A" w14:textId="77777777" w:rsidR="007409CD" w:rsidRDefault="007409CD" w:rsidP="00344DFC">
      <w:r>
        <w:separator/>
      </w:r>
    </w:p>
  </w:footnote>
  <w:footnote w:type="continuationSeparator" w:id="0">
    <w:p w14:paraId="6ABFBC0D" w14:textId="77777777" w:rsidR="007409CD" w:rsidRDefault="007409CD" w:rsidP="00344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D7107"/>
    <w:multiLevelType w:val="hybridMultilevel"/>
    <w:tmpl w:val="C50C0F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A7C66"/>
    <w:multiLevelType w:val="multilevel"/>
    <w:tmpl w:val="2C16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86F93"/>
    <w:multiLevelType w:val="hybridMultilevel"/>
    <w:tmpl w:val="624A36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F79FD"/>
    <w:multiLevelType w:val="multilevel"/>
    <w:tmpl w:val="7AAA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BE5745"/>
    <w:multiLevelType w:val="multilevel"/>
    <w:tmpl w:val="831E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4507297">
    <w:abstractNumId w:val="3"/>
  </w:num>
  <w:num w:numId="2" w16cid:durableId="221600416">
    <w:abstractNumId w:val="1"/>
  </w:num>
  <w:num w:numId="3" w16cid:durableId="491290607">
    <w:abstractNumId w:val="4"/>
  </w:num>
  <w:num w:numId="4" w16cid:durableId="491484572">
    <w:abstractNumId w:val="2"/>
  </w:num>
  <w:num w:numId="5" w16cid:durableId="19327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CD"/>
    <w:rsid w:val="00060982"/>
    <w:rsid w:val="00065F33"/>
    <w:rsid w:val="000846D9"/>
    <w:rsid w:val="000A6C9A"/>
    <w:rsid w:val="000C595B"/>
    <w:rsid w:val="000D78F4"/>
    <w:rsid w:val="000E04A7"/>
    <w:rsid w:val="000F1123"/>
    <w:rsid w:val="00122475"/>
    <w:rsid w:val="0012470D"/>
    <w:rsid w:val="00133D94"/>
    <w:rsid w:val="00160156"/>
    <w:rsid w:val="00170F6F"/>
    <w:rsid w:val="00194EEC"/>
    <w:rsid w:val="001D02A3"/>
    <w:rsid w:val="001F4AA0"/>
    <w:rsid w:val="00232D28"/>
    <w:rsid w:val="00235DB8"/>
    <w:rsid w:val="00254A0D"/>
    <w:rsid w:val="00295B1D"/>
    <w:rsid w:val="002A6206"/>
    <w:rsid w:val="002B4C5A"/>
    <w:rsid w:val="002F656A"/>
    <w:rsid w:val="00306FC9"/>
    <w:rsid w:val="00325A98"/>
    <w:rsid w:val="0033251B"/>
    <w:rsid w:val="00344DFC"/>
    <w:rsid w:val="003576D8"/>
    <w:rsid w:val="003662EE"/>
    <w:rsid w:val="00377A53"/>
    <w:rsid w:val="003D01F9"/>
    <w:rsid w:val="003F0F78"/>
    <w:rsid w:val="00422041"/>
    <w:rsid w:val="00433BB1"/>
    <w:rsid w:val="00444CE3"/>
    <w:rsid w:val="00450980"/>
    <w:rsid w:val="00486E7E"/>
    <w:rsid w:val="005341CE"/>
    <w:rsid w:val="005745DB"/>
    <w:rsid w:val="0058058E"/>
    <w:rsid w:val="00580D35"/>
    <w:rsid w:val="00591280"/>
    <w:rsid w:val="005B4411"/>
    <w:rsid w:val="005B5EBB"/>
    <w:rsid w:val="005D3C0C"/>
    <w:rsid w:val="005F498C"/>
    <w:rsid w:val="00636CA5"/>
    <w:rsid w:val="006470F0"/>
    <w:rsid w:val="0065746C"/>
    <w:rsid w:val="00696802"/>
    <w:rsid w:val="006A1929"/>
    <w:rsid w:val="006F6E91"/>
    <w:rsid w:val="007409CD"/>
    <w:rsid w:val="0076722F"/>
    <w:rsid w:val="00797AEC"/>
    <w:rsid w:val="007A04AF"/>
    <w:rsid w:val="007C6FE4"/>
    <w:rsid w:val="00815F47"/>
    <w:rsid w:val="00816D0B"/>
    <w:rsid w:val="0084467D"/>
    <w:rsid w:val="0086584A"/>
    <w:rsid w:val="00871F7A"/>
    <w:rsid w:val="00876F4E"/>
    <w:rsid w:val="00880399"/>
    <w:rsid w:val="008A76A4"/>
    <w:rsid w:val="008E7601"/>
    <w:rsid w:val="008E7A10"/>
    <w:rsid w:val="00904D58"/>
    <w:rsid w:val="00907B75"/>
    <w:rsid w:val="009516C3"/>
    <w:rsid w:val="009A2493"/>
    <w:rsid w:val="009A4EBC"/>
    <w:rsid w:val="009B65AF"/>
    <w:rsid w:val="009D7747"/>
    <w:rsid w:val="00A05C8F"/>
    <w:rsid w:val="00A2288A"/>
    <w:rsid w:val="00A432EE"/>
    <w:rsid w:val="00A7119D"/>
    <w:rsid w:val="00A83377"/>
    <w:rsid w:val="00A83511"/>
    <w:rsid w:val="00A97435"/>
    <w:rsid w:val="00AA26C6"/>
    <w:rsid w:val="00AC0F1F"/>
    <w:rsid w:val="00B15077"/>
    <w:rsid w:val="00B36011"/>
    <w:rsid w:val="00B47CE1"/>
    <w:rsid w:val="00B76315"/>
    <w:rsid w:val="00C10C53"/>
    <w:rsid w:val="00C233C4"/>
    <w:rsid w:val="00C372A6"/>
    <w:rsid w:val="00C55A15"/>
    <w:rsid w:val="00C66FA3"/>
    <w:rsid w:val="00CA38EE"/>
    <w:rsid w:val="00D34629"/>
    <w:rsid w:val="00D61EED"/>
    <w:rsid w:val="00D63714"/>
    <w:rsid w:val="00DA2A3B"/>
    <w:rsid w:val="00DB65F8"/>
    <w:rsid w:val="00DE1D79"/>
    <w:rsid w:val="00E75A65"/>
    <w:rsid w:val="00EC6693"/>
    <w:rsid w:val="00F25456"/>
    <w:rsid w:val="00F33E62"/>
    <w:rsid w:val="00F97F39"/>
    <w:rsid w:val="00FB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0182BCF"/>
  <w15:chartTrackingRefBased/>
  <w15:docId w15:val="{9D51A471-5317-4664-A5AA-6924290D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DFC"/>
    <w:pPr>
      <w:spacing w:after="120" w:line="288" w:lineRule="auto"/>
      <w:jc w:val="both"/>
    </w:pPr>
    <w:rPr>
      <w:rFonts w:asciiTheme="minorHAnsi" w:eastAsiaTheme="majorEastAsia" w:hAnsiTheme="minorHAnsi" w:cstheme="minorHAnsi"/>
      <w:color w:val="00223C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44DFC"/>
    <w:pPr>
      <w:keepNext/>
      <w:keepLines/>
      <w:spacing w:before="40"/>
      <w:outlineLvl w:val="0"/>
    </w:pPr>
    <w:rPr>
      <w:b/>
      <w:sz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4CE3"/>
    <w:pPr>
      <w:keepNext/>
      <w:keepLines/>
      <w:spacing w:before="40" w:after="0"/>
      <w:outlineLvl w:val="1"/>
    </w:pPr>
    <w:rPr>
      <w:rFonts w:asciiTheme="majorHAnsi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41CE"/>
    <w:pPr>
      <w:keepNext/>
      <w:keepLines/>
      <w:spacing w:before="40" w:after="0"/>
      <w:outlineLvl w:val="2"/>
    </w:pPr>
    <w:rPr>
      <w:rFonts w:asciiTheme="majorHAnsi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05C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C8F"/>
  </w:style>
  <w:style w:type="paragraph" w:styleId="Cabealho">
    <w:name w:val="header"/>
    <w:basedOn w:val="Normal"/>
    <w:link w:val="CabealhoChar"/>
    <w:uiPriority w:val="99"/>
    <w:unhideWhenUsed/>
    <w:rsid w:val="00344D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4DFC"/>
    <w:rPr>
      <w:rFonts w:asciiTheme="minorHAnsi" w:eastAsiaTheme="majorEastAsia" w:hAnsiTheme="minorHAnsi" w:cstheme="minorHAnsi"/>
      <w:color w:val="00223C"/>
      <w:sz w:val="24"/>
      <w:szCs w:val="24"/>
    </w:rPr>
  </w:style>
  <w:style w:type="table" w:styleId="Tabelacomgrade">
    <w:name w:val="Table Grid"/>
    <w:basedOn w:val="Tabelanormal"/>
    <w:uiPriority w:val="39"/>
    <w:rsid w:val="008A7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A76A4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44DFC"/>
    <w:rPr>
      <w:rFonts w:asciiTheme="minorHAnsi" w:eastAsiaTheme="majorEastAsia" w:hAnsiTheme="minorHAnsi" w:cstheme="minorHAnsi"/>
      <w:b/>
      <w:color w:val="00223C"/>
      <w:sz w:val="36"/>
      <w:szCs w:val="24"/>
    </w:rPr>
  </w:style>
  <w:style w:type="paragraph" w:styleId="Ttulo">
    <w:name w:val="Title"/>
    <w:basedOn w:val="Ttulo1"/>
    <w:next w:val="Normal"/>
    <w:link w:val="TtuloChar"/>
    <w:uiPriority w:val="10"/>
    <w:qFormat/>
    <w:rsid w:val="00344DFC"/>
    <w:rPr>
      <w:b w:val="0"/>
      <w:color w:val="CD8C5E"/>
    </w:rPr>
  </w:style>
  <w:style w:type="character" w:customStyle="1" w:styleId="TtuloChar">
    <w:name w:val="Título Char"/>
    <w:basedOn w:val="Fontepargpadro"/>
    <w:link w:val="Ttulo"/>
    <w:uiPriority w:val="10"/>
    <w:rsid w:val="00344DFC"/>
    <w:rPr>
      <w:rFonts w:asciiTheme="minorHAnsi" w:eastAsiaTheme="majorEastAsia" w:hAnsiTheme="minorHAnsi" w:cstheme="minorHAnsi"/>
      <w:color w:val="CD8C5E"/>
      <w:sz w:val="36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4DFC"/>
    <w:pPr>
      <w:outlineLvl w:val="3"/>
    </w:pPr>
    <w:rPr>
      <w:color w:val="CD8C5E"/>
      <w:sz w:val="28"/>
    </w:rPr>
  </w:style>
  <w:style w:type="character" w:customStyle="1" w:styleId="SubttuloChar">
    <w:name w:val="Subtítulo Char"/>
    <w:basedOn w:val="Fontepargpadro"/>
    <w:link w:val="Subttulo"/>
    <w:uiPriority w:val="11"/>
    <w:rsid w:val="00344DFC"/>
    <w:rPr>
      <w:rFonts w:asciiTheme="minorHAnsi" w:eastAsiaTheme="majorEastAsia" w:hAnsiTheme="minorHAnsi" w:cstheme="minorHAnsi"/>
      <w:color w:val="CD8C5E"/>
      <w:sz w:val="28"/>
      <w:szCs w:val="24"/>
    </w:rPr>
  </w:style>
  <w:style w:type="character" w:styleId="RefernciaSutil">
    <w:name w:val="Subtle Reference"/>
    <w:aliases w:val="Autor"/>
    <w:uiPriority w:val="31"/>
    <w:qFormat/>
    <w:rsid w:val="00344DFC"/>
    <w:rPr>
      <w:rFonts w:asciiTheme="minorHAnsi" w:eastAsiaTheme="majorEastAsia" w:hAnsiTheme="minorHAnsi" w:cstheme="minorHAnsi"/>
      <w:color w:val="00223C"/>
      <w:sz w:val="2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8E7601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0D35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4C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41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86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09740">
              <w:marLeft w:val="0"/>
              <w:marRight w:val="0"/>
              <w:marTop w:val="0"/>
              <w:marBottom w:val="0"/>
              <w:divBdr>
                <w:top w:val="single" w:sz="6" w:space="13" w:color="E0E0E0"/>
                <w:left w:val="none" w:sz="0" w:space="0" w:color="auto"/>
                <w:bottom w:val="single" w:sz="6" w:space="7" w:color="E0E0E0"/>
                <w:right w:val="none" w:sz="0" w:space="0" w:color="auto"/>
              </w:divBdr>
              <w:divsChild>
                <w:div w:id="25016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4372">
              <w:marLeft w:val="0"/>
              <w:marRight w:val="0"/>
              <w:marTop w:val="0"/>
              <w:marBottom w:val="0"/>
              <w:divBdr>
                <w:top w:val="single" w:sz="6" w:space="13" w:color="E0E0E0"/>
                <w:left w:val="none" w:sz="0" w:space="0" w:color="auto"/>
                <w:bottom w:val="single" w:sz="6" w:space="7" w:color="E0E0E0"/>
                <w:right w:val="none" w:sz="0" w:space="0" w:color="auto"/>
              </w:divBdr>
              <w:divsChild>
                <w:div w:id="7677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5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estudio.folha.uol.com.br/previdencia-e-futuro/2024/02/empresas-oferecem-planos-corporativosde-previdencia-privada-para-atrair-talentos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5410F-3F59-4EDB-9411-AD709137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de Oliveira Silva | Demarest Advogados</dc:creator>
  <cp:keywords/>
  <dc:description/>
  <cp:lastModifiedBy>Cristiane Santana Sa | Demarest Advogados</cp:lastModifiedBy>
  <cp:revision>2</cp:revision>
  <cp:lastPrinted>2024-01-05T12:02:00Z</cp:lastPrinted>
  <dcterms:created xsi:type="dcterms:W3CDTF">2024-02-27T11:31:00Z</dcterms:created>
  <dcterms:modified xsi:type="dcterms:W3CDTF">2024-02-27T11:31:00Z</dcterms:modified>
</cp:coreProperties>
</file>