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340" w:type="dxa"/>
        <w:jc w:val="center"/>
        <w:tblCellMar>
          <w:top w:w="397" w:type="dxa"/>
          <w:left w:w="0" w:type="dxa"/>
          <w:bottom w:w="397" w:type="dxa"/>
          <w:right w:w="0" w:type="dxa"/>
        </w:tblCellMar>
        <w:tblLook w:val="04A0" w:firstRow="1" w:lastRow="0" w:firstColumn="1" w:lastColumn="0" w:noHBand="0" w:noVBand="1"/>
      </w:tblPr>
      <w:tblGrid>
        <w:gridCol w:w="11466"/>
      </w:tblGrid>
      <w:tr w:rsidR="00C66FA3" w:rsidRPr="000846D9" w14:paraId="50136262" w14:textId="77777777" w:rsidTr="00A97435">
        <w:trPr>
          <w:trHeight w:val="3913"/>
          <w:jc w:val="center"/>
        </w:trPr>
        <w:tc>
          <w:tcPr>
            <w:tcW w:w="11340" w:type="dxa"/>
            <w:shd w:val="clear" w:color="auto" w:fill="auto"/>
            <w:tcMar>
              <w:top w:w="113" w:type="dxa"/>
              <w:left w:w="0" w:type="dxa"/>
              <w:bottom w:w="0" w:type="dxa"/>
              <w:right w:w="0" w:type="dxa"/>
            </w:tcMar>
          </w:tcPr>
          <w:tbl>
            <w:tblPr>
              <w:tblStyle w:val="Tabelacomgrade"/>
              <w:tblW w:w="1077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466"/>
            </w:tblGrid>
            <w:tr w:rsidR="00A97435" w14:paraId="5A019FC7" w14:textId="77777777" w:rsidTr="00A97435">
              <w:trPr>
                <w:jc w:val="center"/>
              </w:trPr>
              <w:tc>
                <w:tcPr>
                  <w:tcW w:w="10772" w:type="dxa"/>
                </w:tcPr>
                <w:p w14:paraId="219CBF80" w14:textId="77777777" w:rsidR="00A97435" w:rsidRDefault="007409CD" w:rsidP="00344DFC">
                  <w:pPr>
                    <w:pStyle w:val="Ttulo"/>
                  </w:pPr>
                  <w:r>
                    <w:rPr>
                      <w:noProof/>
                    </w:rPr>
                    <w:drawing>
                      <wp:inline distT="0" distB="0" distL="0" distR="0" wp14:anchorId="56378108" wp14:editId="2A5E0578">
                        <wp:extent cx="7139305" cy="2377440"/>
                        <wp:effectExtent l="0" t="0" r="4445" b="3810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39305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6B4667" w14:textId="77777777" w:rsidR="00A97435" w:rsidRPr="00344DFC" w:rsidRDefault="00A97435" w:rsidP="00A97435">
                  <w:pPr>
                    <w:pStyle w:val="Ttulo"/>
                  </w:pPr>
                  <w:r w:rsidRPr="00344DFC">
                    <w:t xml:space="preserve">Na Mídia </w:t>
                  </w:r>
                </w:p>
                <w:p w14:paraId="4F789A09" w14:textId="65176A77" w:rsidR="00A97435" w:rsidRPr="00344DFC" w:rsidRDefault="00953734" w:rsidP="00A97435">
                  <w:pPr>
                    <w:pStyle w:val="Cabealho"/>
                  </w:pPr>
                  <w:r>
                    <w:t>11</w:t>
                  </w:r>
                  <w:r w:rsidR="00A97435" w:rsidRPr="00344DFC">
                    <w:t>/0</w:t>
                  </w:r>
                  <w:r w:rsidR="00121D8B">
                    <w:t>2</w:t>
                  </w:r>
                  <w:r w:rsidR="00060982">
                    <w:t>/</w:t>
                  </w:r>
                  <w:r w:rsidR="00B5184F">
                    <w:t>202</w:t>
                  </w:r>
                  <w:r w:rsidR="00EF0A9D">
                    <w:t>5</w:t>
                  </w:r>
                  <w:r w:rsidR="00A97435" w:rsidRPr="00344DFC">
                    <w:t xml:space="preserve"> | </w:t>
                  </w:r>
                  <w:hyperlink r:id="rId11" w:history="1">
                    <w:r w:rsidR="00B5184F" w:rsidRPr="00F662E1">
                      <w:rPr>
                        <w:rStyle w:val="Hyperlink"/>
                      </w:rPr>
                      <w:t>Valor Econômico</w:t>
                    </w:r>
                  </w:hyperlink>
                </w:p>
                <w:p w14:paraId="60BA2315" w14:textId="77777777" w:rsidR="00A97435" w:rsidRPr="00344DFC" w:rsidRDefault="00A97435" w:rsidP="00A97435">
                  <w:pPr>
                    <w:pStyle w:val="Cabealho"/>
                  </w:pPr>
                </w:p>
                <w:p w14:paraId="5911A1E5" w14:textId="77777777" w:rsidR="00953734" w:rsidRDefault="00953734" w:rsidP="00953734">
                  <w:pPr>
                    <w:pStyle w:val="Ttulo1"/>
                  </w:pPr>
                  <w:r>
                    <w:t>Consolidação de aeroportos esbarra em crise das aéreas e cenário econômico incerto</w:t>
                  </w:r>
                </w:p>
                <w:p w14:paraId="244DCD27" w14:textId="77777777" w:rsidR="00B25AC0" w:rsidRDefault="00B25AC0" w:rsidP="00B25AC0">
                  <w:pPr>
                    <w:pStyle w:val="Subttulo"/>
                  </w:pPr>
                  <w:r>
                    <w:t>Onda de fusões e aquisições é esperada, mas investidores esperam momento melhor</w:t>
                  </w:r>
                </w:p>
                <w:p w14:paraId="56EB2FF1" w14:textId="77777777" w:rsidR="00B25AC0" w:rsidRPr="00B25AC0" w:rsidRDefault="00B25AC0" w:rsidP="00B25AC0">
                  <w:pPr>
                    <w:rPr>
                      <w:rStyle w:val="RefernciaSutil"/>
                    </w:rPr>
                  </w:pPr>
                  <w:r w:rsidRPr="00B25AC0">
                    <w:rPr>
                      <w:rStyle w:val="RefernciaSutil"/>
                    </w:rPr>
                    <w:t xml:space="preserve">Taís Hirata e Cristian Favaro </w:t>
                  </w:r>
                </w:p>
                <w:p w14:paraId="4FE7C73C" w14:textId="0B07845F" w:rsidR="00B44D92" w:rsidRDefault="00250CB7" w:rsidP="00250CB7">
                  <w:pPr>
                    <w:jc w:val="center"/>
                  </w:pPr>
                  <w:r w:rsidRPr="00250CB7">
                    <w:drawing>
                      <wp:inline distT="0" distB="0" distL="0" distR="0" wp14:anchorId="3A6DEE8E" wp14:editId="26658059">
                        <wp:extent cx="6477904" cy="3982006"/>
                        <wp:effectExtent l="0" t="0" r="0" b="0"/>
                        <wp:docPr id="269235707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235707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7904" cy="3982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BF5F72" w14:textId="77777777" w:rsidR="009A277A" w:rsidRDefault="009A277A" w:rsidP="009A277A">
                  <w:r>
                    <w:t>O mercado de concessões de aeroportos caminha para um ciclo de consolidação, com operadores avaliando movimentos de fusões e aquisições. Porém, a expectativa é que as transações do setor tenham dificuldade para sair, em um momento de crise para as companhias aéreas do país e de um cenário macroeconômico desfavorável, segundo fontes de mercado ouvidas pelo Valor.</w:t>
                  </w:r>
                </w:p>
                <w:p w14:paraId="0E50F899" w14:textId="77777777" w:rsidR="00A07151" w:rsidRDefault="00A07151" w:rsidP="00A07151">
                  <w:r>
                    <w:lastRenderedPageBreak/>
                    <w:t>A CCR contratou assessores financeiros para vender sua divisão de aeroportos - ou uma fatia dela-, revelou o Pipeline, site de negócios do Valor. Fontes afirmam que desde o ano passado o grupo vinha conversando com grupos sobre os ativos, sem gerar entusiasmo, ao menos até o momento.</w:t>
                  </w:r>
                </w:p>
                <w:p w14:paraId="3E962428" w14:textId="77777777" w:rsidR="00A07151" w:rsidRDefault="00A07151" w:rsidP="00A07151">
                  <w:r>
                    <w:t xml:space="preserve">Na avaliação de um executivo, os aeroportos internacionais da empresa - em Curaçao, no Equador e na Costa Rica - são atrativos, mas os terminais no Brasil são vistos com pouco interesse. Além de Confins (MG), em sociedade com a Zurich </w:t>
                  </w:r>
                  <w:proofErr w:type="spellStart"/>
                  <w:r>
                    <w:t>Airport</w:t>
                  </w:r>
                  <w:proofErr w:type="spellEnd"/>
                  <w:r>
                    <w:t xml:space="preserve">, o grupo opera 15 aeroportos, dos blocos Sul e Central, licitados pelo governo federal em abril de 2021, e </w:t>
                  </w:r>
                  <w:proofErr w:type="spellStart"/>
                  <w:r>
                    <w:t>e</w:t>
                  </w:r>
                  <w:proofErr w:type="spellEnd"/>
                  <w:r>
                    <w:t xml:space="preserve"> o aeroporto de Pampulha, em Minas Gerais, conquistado também em 2021.</w:t>
                  </w:r>
                </w:p>
                <w:p w14:paraId="38D14EE5" w14:textId="77777777" w:rsidR="00864563" w:rsidRDefault="00864563" w:rsidP="00864563">
                  <w:r>
                    <w:t>A avaliação no mercado é que a CCR pagou caro pelos ativos no leilão federal, o que deverá dificultar as negociações, dizem as fontes. Na concorrência, as ofertas da companhia ficaram muito acima das propostas dos demais proponentes e foram consideradas agressivas. Com isso, há uma percepção de que será difícil chegar a um acordo sobre preço para o negócio - principalmente porque o grupo tem reiterado que não tem pressa alguma.</w:t>
                  </w:r>
                </w:p>
                <w:p w14:paraId="30BA1341" w14:textId="77777777" w:rsidR="00864563" w:rsidRDefault="00864563" w:rsidP="00864563">
                  <w:r>
                    <w:t>Outro executivo de um fundo estrangeiro afirma que os blocos de aeroportos da empresa têm muitos terminais sem atratividade, e a regulação aeroportuária do país não permite a venda desses ativos menores que compõem o bloco. Isso dificulta a extração de valor da empresa, diz.</w:t>
                  </w:r>
                </w:p>
                <w:p w14:paraId="6C377DE3" w14:textId="709FFF7B" w:rsidR="00B44D92" w:rsidRDefault="009B0F36" w:rsidP="009B0F3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37BDB61" wp14:editId="51136895">
                        <wp:extent cx="6973570" cy="1800225"/>
                        <wp:effectExtent l="0" t="0" r="0" b="9525"/>
                        <wp:docPr id="356105404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357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7F5039" w14:textId="77777777" w:rsidR="009B0F36" w:rsidRDefault="009B0F36" w:rsidP="009B0F36">
                  <w:r>
                    <w:t>Por fim, o cenário macroeconômico, com juros elevados, real enfraquecido e uma grande percepção de incerteza em relação ao Brasil devem dificultar qualquer operação neste ano, avaliam fontes.</w:t>
                  </w:r>
                </w:p>
                <w:p w14:paraId="16C876EE" w14:textId="77777777" w:rsidR="002C3175" w:rsidRDefault="009B0F36" w:rsidP="002C3175">
                  <w:r>
                    <w:t xml:space="preserve">Já uma pessoa próxima à CCR nega a falta de interesse pela plataforma e diz que há procura inclusive por parte de atores internacionais que veem </w:t>
                  </w:r>
                  <w:r w:rsidR="002C3175">
                    <w:t>o negócio como ponto de entrada no setor ou parte de uma consolidação. Hoje, mesmo com o processo em fase inicial, já há de quatro a cinco interessados, segundo essa pessoa.</w:t>
                  </w:r>
                </w:p>
                <w:p w14:paraId="797C9F5E" w14:textId="77777777" w:rsidR="002C3175" w:rsidRDefault="002C3175" w:rsidP="002C3175">
                  <w:r>
                    <w:t>Um dos principais atrativos, diz a fonte, são os terminais internacionais, em que a receita é em dólar - hoje cerca de 60% do Ebitda (lucro antes de juros, impostos, depreciação e amortização) vem de fora do Brasil. Além disso, as principais obras nos aeroportos foram concluídas, o que reduz muito o risco da concessão.</w:t>
                  </w:r>
                </w:p>
                <w:p w14:paraId="7A3DCF3A" w14:textId="77777777" w:rsidR="00462934" w:rsidRDefault="00462934" w:rsidP="00462934">
                  <w:r>
                    <w:t>Ainda segundo essa pessoa, neste momento não há intenção de “fatiar” a plataforma, por exemplo, envolvendo apenas os ativos internacionais na operação.</w:t>
                  </w:r>
                </w:p>
                <w:p w14:paraId="14E52D2B" w14:textId="77777777" w:rsidR="008E3841" w:rsidRDefault="008E3841" w:rsidP="008E3841">
                  <w:r>
                    <w:t xml:space="preserve">Um operador que vinha sendo apontado como potencial comprador é a Zurich </w:t>
                  </w:r>
                  <w:proofErr w:type="spellStart"/>
                  <w:r>
                    <w:t>Airport</w:t>
                  </w:r>
                  <w:proofErr w:type="spellEnd"/>
                  <w:r>
                    <w:t>, que é sócia da CCR no aeroporto de Confins. Porém, uma fonte de mercado afirma que o grupo suíço recentemente fez uma avaliação de compra de ativos aeroportuários no Brasil e constatou que não há interesse em ampliar os investimentos no país. Procurada, a companhia diz que “o Brasil segue sendo um mercado prioritário para a empresa” e afirma que “a última concessão de aeroportos no país foi arrematada pelo grupo suíço: a relicitação do Aeroporto Internacional de Natal”, em maio de 2023.</w:t>
                  </w:r>
                </w:p>
                <w:p w14:paraId="37027EFF" w14:textId="77777777" w:rsidR="008E3841" w:rsidRDefault="008E3841" w:rsidP="008E3841"/>
                <w:p w14:paraId="4B1A4CC7" w14:textId="09CAC780" w:rsidR="00B5184F" w:rsidRDefault="00112BC0" w:rsidP="00112BC0">
                  <w:pPr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55A6EE4F" wp14:editId="57879DA0">
                        <wp:extent cx="6207596" cy="4991735"/>
                        <wp:effectExtent l="0" t="0" r="3175" b="0"/>
                        <wp:docPr id="895300548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7698" cy="499985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B8C3E5" w14:textId="77777777" w:rsidR="00112BC0" w:rsidRDefault="00112BC0" w:rsidP="00112BC0">
                  <w:r>
                    <w:t>Procurada, a CCR não se manifestou até o momento.</w:t>
                  </w:r>
                </w:p>
                <w:p w14:paraId="432435D7" w14:textId="77777777" w:rsidR="00112BC0" w:rsidRDefault="00112BC0" w:rsidP="00112BC0">
                  <w:r>
                    <w:t>Outro operador que também vem tentando achar um sócio é a Socicam, para a concessão no Centro-Oeste, liderada pelo aeroporto de Cuiabá. Fontes do mercado afirmam que a empresa sondou grupos financeiros em busca de vender uma participação minoritária, o que tampouco atraiu interesse.</w:t>
                  </w:r>
                </w:p>
                <w:p w14:paraId="69DD9418" w14:textId="77777777" w:rsidR="00FE3762" w:rsidRDefault="00FE3762" w:rsidP="00FE3762">
                  <w:r>
                    <w:t>Tal como no caso da CCR, fontes do mercado avaliam que os ativos também não são muito atrativos, principalmente para uma fatia minoritária. Procurada, a Socicam não quis comentar.</w:t>
                  </w:r>
                </w:p>
                <w:p w14:paraId="6F9CB6F0" w14:textId="77777777" w:rsidR="00FE3762" w:rsidRDefault="00FE3762" w:rsidP="00FE3762">
                  <w:r>
                    <w:t>De modo geral, a percepção é que o momento é negativo para qualquer movimento de fusões e aquisições. “Caso não seja uma necessidade, 2025 não me parece um ano adequado para vender ativos”, avalia um executivo.</w:t>
                  </w:r>
                </w:p>
                <w:p w14:paraId="6FDF99BD" w14:textId="77777777" w:rsidR="00D7065D" w:rsidRDefault="00FE3762" w:rsidP="00D7065D">
                  <w:r>
                    <w:t xml:space="preserve">No caso do setor aeroportuário, o baixo interesse reflete ainda o complexo momento da aviação no Brasil, segundo fontes. Duas das três aéreas em operação, </w:t>
                  </w:r>
                  <w:proofErr w:type="gramStart"/>
                  <w:r>
                    <w:t>Azul</w:t>
                  </w:r>
                  <w:proofErr w:type="gramEnd"/>
                  <w:r>
                    <w:t xml:space="preserve"> e Gol, passam por um amplo processo de ajuste de contas, limpando assim os seus balanços das dívidas feitas nos anos de pandemia. Os acionistas das empresas, por sinal, avaliam a </w:t>
                  </w:r>
                  <w:r w:rsidR="00D7065D">
                    <w:t>possibilidade de unir forças para crescer no mercado doméstico.</w:t>
                  </w:r>
                </w:p>
                <w:p w14:paraId="5F31A366" w14:textId="77777777" w:rsidR="00D7065D" w:rsidRDefault="00D7065D" w:rsidP="00D7065D">
                  <w:r>
                    <w:t>Mas mesmo antes dos efeitos da covid-19 o setor aéreo já vinha enfrentando dificuldades para crescer. Entre 2000 e 2010, o Brasil saiu de 28 milhões de passageiros transportados no mercado doméstico para 69,9 milhões. Acontece que nos anos seguintes o crescimento foi</w:t>
                  </w:r>
                  <w:r>
                    <w:t xml:space="preserve"> </w:t>
                  </w:r>
                  <w:r>
                    <w:t>perdendo força, até que bateu seu pico em 2015 de 96 milhões de passageiros. De lá para cá, o setor andou de lado. Em 2024, a aviação civil doméstica brasileira movimentou 93,378 milhões de passageiros - voltando aos níveis de 2014. Os dados são da Agência Nacional de Aviação Civil (Anac).</w:t>
                  </w:r>
                </w:p>
                <w:p w14:paraId="0E566B35" w14:textId="77777777" w:rsidR="00D7065D" w:rsidRDefault="00D7065D" w:rsidP="00D7065D"/>
                <w:p w14:paraId="33FA8A82" w14:textId="77777777" w:rsidR="00BA2F38" w:rsidRPr="00C12D64" w:rsidRDefault="00BA2F38" w:rsidP="00BA2F38">
                  <w:pPr>
                    <w:rPr>
                      <w:b/>
                      <w:bCs/>
                    </w:rPr>
                  </w:pPr>
                  <w:r w:rsidRPr="00C12D64">
                    <w:rPr>
                      <w:b/>
                      <w:bCs/>
                    </w:rPr>
                    <w:lastRenderedPageBreak/>
                    <w:t xml:space="preserve">“O setor ainda está em um momento sensível. O nível de demanda está chegando só agora ao </w:t>
                  </w:r>
                  <w:proofErr w:type="spellStart"/>
                  <w:r w:rsidRPr="00C12D64">
                    <w:rPr>
                      <w:b/>
                      <w:bCs/>
                    </w:rPr>
                    <w:t>pré</w:t>
                  </w:r>
                  <w:proofErr w:type="spellEnd"/>
                  <w:r w:rsidRPr="00C12D64">
                    <w:rPr>
                      <w:b/>
                      <w:bCs/>
                    </w:rPr>
                    <w:t>-pandemia. É uma evolução do transporte aéreo que se perdeu”, afirma Marcelo Guaranys, ex-presidente da Anac e hoje sócio do Demarest Advogados. Ainda assim, ele avalia que há muito potencial no longo prazo para crescimento do mercado.</w:t>
                  </w:r>
                </w:p>
                <w:p w14:paraId="4604E7C7" w14:textId="77777777" w:rsidR="00BA2F38" w:rsidRDefault="00BA2F38" w:rsidP="00BA2F38">
                  <w:r>
                    <w:t>Fabio Falkenburger, sócio do escritório Machado Meyer, disse que os possíveis ativos no pipeline do mercado hoje são os da CCR, Galeão e Viracopos - esses dois últimos, que poderão passar por uma repactuação junto ao governo federal, ainda enfrentam uma série de dúvidas.</w:t>
                  </w:r>
                </w:p>
                <w:p w14:paraId="4FF46E89" w14:textId="77777777" w:rsidR="00BA2F38" w:rsidRDefault="00BA2F38" w:rsidP="00BA2F38">
                  <w:r>
                    <w:t>No mercado, há uma expectativa de que o setor de aeroportos passe por uma consolidação nos próximos anos, já que os principais terminais do país já foram praticamente todos leiloados e não há mais uma agenda de grandes licitações na área.</w:t>
                  </w:r>
                </w:p>
                <w:p w14:paraId="22DF9FD3" w14:textId="77777777" w:rsidR="003637D8" w:rsidRDefault="00BA2F38" w:rsidP="003637D8">
                  <w:r>
                    <w:t xml:space="preserve">Há uma expectativa de que grupos que ficaram com poucos terminais e não conseguiram formar plataformas maiores busquem se desfazer dos negócios, avaliam fontes do setor. Seria o caso, por exemplo, da argentina </w:t>
                  </w:r>
                  <w:proofErr w:type="spellStart"/>
                  <w:r>
                    <w:t>Inframérica</w:t>
                  </w:r>
                  <w:proofErr w:type="spellEnd"/>
                  <w:r>
                    <w:t>, que devolveu sua concessão de Natal e ficou apenas com o terminal de Brasília, ou da Fraport, que tem os contratos</w:t>
                  </w:r>
                  <w:r w:rsidR="003637D8">
                    <w:t xml:space="preserve"> </w:t>
                  </w:r>
                  <w:r w:rsidR="003637D8">
                    <w:t xml:space="preserve">de Fortaleza e Porto Alegre - embora, com o desastre na capital gaúcha, a percepção é que neste momento não haverá nenhum movimento. Procurada, a Fraport diz que “não tem interesse ou intenção de se desfazer de seus ativos no país”. A </w:t>
                  </w:r>
                  <w:proofErr w:type="spellStart"/>
                  <w:r w:rsidR="003637D8">
                    <w:t>Inframérica</w:t>
                  </w:r>
                  <w:proofErr w:type="spellEnd"/>
                  <w:r w:rsidR="003637D8">
                    <w:t xml:space="preserve"> não respondeu.</w:t>
                  </w:r>
                </w:p>
                <w:p w14:paraId="1F81443A" w14:textId="77777777" w:rsidR="003637D8" w:rsidRDefault="003637D8" w:rsidP="003637D8">
                  <w:r>
                    <w:t xml:space="preserve">Do lado dos consolidadores, </w:t>
                  </w:r>
                  <w:proofErr w:type="spellStart"/>
                  <w:r>
                    <w:t>Aena</w:t>
                  </w:r>
                  <w:proofErr w:type="spellEnd"/>
                  <w:r>
                    <w:t xml:space="preserve"> e Vinci são apontadas como potenciais compradoras, embora o grupo espanhol no curto prazo deva priorizar os investimentos em Congonhas (SP), avaliam fontes. As empresas não comentaram.</w:t>
                  </w:r>
                </w:p>
                <w:p w14:paraId="01620751" w14:textId="77777777" w:rsidR="003637D8" w:rsidRDefault="003637D8" w:rsidP="003637D8">
                  <w:r>
                    <w:t>Para além dos grandes ativos, Falkenburger apontou uma janela de oportunidade com os planos do governo de incentivar os aeroportos regionais.</w:t>
                  </w:r>
                </w:p>
                <w:p w14:paraId="03211CB6" w14:textId="77777777" w:rsidR="00753818" w:rsidRDefault="00753818" w:rsidP="00753818">
                  <w:r>
                    <w:t xml:space="preserve">Chamado de </w:t>
                  </w:r>
                  <w:proofErr w:type="spellStart"/>
                  <w:r>
                    <w:t>AmpliAR</w:t>
                  </w:r>
                  <w:proofErr w:type="spellEnd"/>
                  <w:r>
                    <w:t xml:space="preserve">, o programa pretende permitir que concessionárias assumam a gestão de aeroportos regionais por meio de processos competitivos simplificados. Como contrapartida, as concessionárias terão acesso a mecanismos de reequilíbrio contratual, como redução de outorgas ou extensão de prazos. O programa passou por consulta pública até o dia 17 de janeiro. Nessa primeira fase o foco foram 50 aeródromos localizados na Amazônia Legal e no Nordeste, sobretudo em cidades com maior </w:t>
                  </w:r>
                  <w:proofErr w:type="spellStart"/>
                  <w:r>
                    <w:t>deficit</w:t>
                  </w:r>
                  <w:proofErr w:type="spellEnd"/>
                  <w:r>
                    <w:t xml:space="preserve"> de infraestrutura aeroportuária.</w:t>
                  </w:r>
                </w:p>
                <w:p w14:paraId="0DA9618F" w14:textId="77777777" w:rsidR="00753818" w:rsidRDefault="00753818" w:rsidP="00753818">
                  <w:r>
                    <w:t>“Me pareceu inteligente, uma vez que aeroportos regionais por si só não são lucrativos. É difícil achar um investidor que vai fazer obra e viver de rentabilidade desse ativo”, disse Falkenburger.</w:t>
                  </w:r>
                </w:p>
                <w:p w14:paraId="788323CE" w14:textId="4430A977" w:rsidR="00B5184F" w:rsidRDefault="00B5184F" w:rsidP="00753818"/>
              </w:tc>
            </w:tr>
          </w:tbl>
          <w:p w14:paraId="0B5B7E92" w14:textId="77777777" w:rsidR="00A97435" w:rsidRPr="00344DFC" w:rsidRDefault="00A97435" w:rsidP="00A97435"/>
        </w:tc>
      </w:tr>
    </w:tbl>
    <w:p w14:paraId="12B21E0D" w14:textId="77777777" w:rsidR="005F498C" w:rsidRPr="000846D9" w:rsidRDefault="005F498C" w:rsidP="00344DFC"/>
    <w:sectPr w:rsidR="005F498C" w:rsidRPr="000846D9" w:rsidSect="002A6206">
      <w:footerReference w:type="default" r:id="rId15"/>
      <w:footerReference w:type="first" r:id="rId16"/>
      <w:pgSz w:w="11906" w:h="16838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91378" w14:textId="77777777" w:rsidR="00FE0F73" w:rsidRDefault="00FE0F73" w:rsidP="00344DFC">
      <w:r>
        <w:separator/>
      </w:r>
    </w:p>
  </w:endnote>
  <w:endnote w:type="continuationSeparator" w:id="0">
    <w:p w14:paraId="73D83E71" w14:textId="77777777" w:rsidR="00FE0F73" w:rsidRDefault="00FE0F73" w:rsidP="0034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7D8BB" w14:textId="77777777" w:rsidR="00EF0A9D" w:rsidRDefault="00EF0A9D" w:rsidP="00344DFC">
    <w:pPr>
      <w:pStyle w:val="Rodap"/>
    </w:pPr>
  </w:p>
  <w:p w14:paraId="7BE24A6F" w14:textId="77777777" w:rsidR="00433BB1" w:rsidRDefault="00433BB1" w:rsidP="00344DFC">
    <w:pPr>
      <w:pStyle w:val="Rodap"/>
    </w:pPr>
    <w:r>
      <w:rPr>
        <w:noProof/>
        <w:lang w:eastAsia="pt-BR"/>
      </w:rPr>
      <mc:AlternateContent>
        <mc:Choice Requires="wps">
          <w:drawing>
            <wp:inline distT="0" distB="0" distL="0" distR="0" wp14:anchorId="5DD61A09" wp14:editId="79B1BEF5">
              <wp:extent cx="6350000" cy="381000"/>
              <wp:effectExtent l="0" t="0" r="12700" b="12700"/>
              <wp:docPr id="4" name="ws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7924AF9" w14:textId="77777777" w:rsidR="00433BB1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DD61A09" id="_x0000_t202" coordsize="21600,21600" o:spt="202" path="m,l,21600r21600,l21600,xe">
              <v:stroke joinstyle="miter"/>
              <v:path gradientshapeok="t" o:connecttype="rect"/>
            </v:shapetype>
            <v:shape id="wsFOOTER" o:spid="_x0000_s1026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" filled="f" stroked="f" strokeweight=".5pt">
              <v:textbox style="mso-fit-shape-to-text:t" inset="0,0,0,0">
                <w:txbxContent>
                  <w:p w14:paraId="57924AF9" w14:textId="77777777" w:rsidR="00433BB1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D04CB" w14:textId="77777777" w:rsidR="001F4AA0" w:rsidRPr="002A6206" w:rsidRDefault="001F4AA0" w:rsidP="00344DFC">
    <w:pPr>
      <w:pStyle w:val="Rodap"/>
      <w:rPr>
        <w:sz w:val="12"/>
        <w:szCs w:val="12"/>
      </w:rPr>
    </w:pPr>
    <w:r w:rsidRPr="002A6206">
      <w:rPr>
        <w:noProof/>
        <w:sz w:val="12"/>
        <w:szCs w:val="12"/>
        <w:lang w:eastAsia="pt-BR"/>
      </w:rPr>
      <mc:AlternateContent>
        <mc:Choice Requires="wps">
          <w:drawing>
            <wp:inline distT="0" distB="0" distL="0" distR="0" wp14:anchorId="32F7A83A" wp14:editId="61FD9036">
              <wp:extent cx="6350000" cy="381000"/>
              <wp:effectExtent l="0" t="0" r="12700" b="12700"/>
              <wp:docPr id="1" name="wsFIRST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636DAD9" w14:textId="77777777" w:rsidR="001F4AA0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2F7A83A" id="_x0000_t202" coordsize="21600,21600" o:spt="202" path="m,l,21600r21600,l21600,xe">
              <v:stroke joinstyle="miter"/>
              <v:path gradientshapeok="t" o:connecttype="rect"/>
            </v:shapetype>
            <v:shape id="wsFIRSTFOOTER" o:spid="_x0000_s1027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" filled="f" stroked="f" strokeweight=".5pt">
              <v:textbox style="mso-fit-shape-to-text:t" inset="0,0,0,0">
                <w:txbxContent>
                  <w:p w14:paraId="6636DAD9" w14:textId="77777777" w:rsidR="001F4AA0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652CC" w14:textId="77777777" w:rsidR="00FE0F73" w:rsidRDefault="00FE0F73" w:rsidP="00344DFC">
      <w:r>
        <w:separator/>
      </w:r>
    </w:p>
  </w:footnote>
  <w:footnote w:type="continuationSeparator" w:id="0">
    <w:p w14:paraId="3C21EB0D" w14:textId="77777777" w:rsidR="00FE0F73" w:rsidRDefault="00FE0F73" w:rsidP="00344D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4F"/>
    <w:rsid w:val="00060982"/>
    <w:rsid w:val="000846D9"/>
    <w:rsid w:val="000A6C9A"/>
    <w:rsid w:val="000C595B"/>
    <w:rsid w:val="000E04A7"/>
    <w:rsid w:val="00112BC0"/>
    <w:rsid w:val="00121D8B"/>
    <w:rsid w:val="0012470D"/>
    <w:rsid w:val="00197F20"/>
    <w:rsid w:val="001D02A3"/>
    <w:rsid w:val="001F4AA0"/>
    <w:rsid w:val="002139A4"/>
    <w:rsid w:val="00235DB8"/>
    <w:rsid w:val="00250CB7"/>
    <w:rsid w:val="00254A0D"/>
    <w:rsid w:val="002A6206"/>
    <w:rsid w:val="002C3175"/>
    <w:rsid w:val="002C3469"/>
    <w:rsid w:val="0033251B"/>
    <w:rsid w:val="00344DFC"/>
    <w:rsid w:val="003637D8"/>
    <w:rsid w:val="003F0F78"/>
    <w:rsid w:val="00422041"/>
    <w:rsid w:val="00433BB1"/>
    <w:rsid w:val="00462934"/>
    <w:rsid w:val="004F26A8"/>
    <w:rsid w:val="005745DB"/>
    <w:rsid w:val="00591280"/>
    <w:rsid w:val="005F498C"/>
    <w:rsid w:val="00696802"/>
    <w:rsid w:val="007409CD"/>
    <w:rsid w:val="00753818"/>
    <w:rsid w:val="007C6FE4"/>
    <w:rsid w:val="00815F47"/>
    <w:rsid w:val="00816D0B"/>
    <w:rsid w:val="0084467D"/>
    <w:rsid w:val="00864563"/>
    <w:rsid w:val="00871F7A"/>
    <w:rsid w:val="00876F4E"/>
    <w:rsid w:val="008A76A4"/>
    <w:rsid w:val="008E3841"/>
    <w:rsid w:val="008E7601"/>
    <w:rsid w:val="008E7A10"/>
    <w:rsid w:val="009516C3"/>
    <w:rsid w:val="00953734"/>
    <w:rsid w:val="009A277A"/>
    <w:rsid w:val="009A4EBC"/>
    <w:rsid w:val="009B0F36"/>
    <w:rsid w:val="00A05C8F"/>
    <w:rsid w:val="00A07151"/>
    <w:rsid w:val="00A2288A"/>
    <w:rsid w:val="00A83511"/>
    <w:rsid w:val="00A97435"/>
    <w:rsid w:val="00B15077"/>
    <w:rsid w:val="00B25AC0"/>
    <w:rsid w:val="00B36011"/>
    <w:rsid w:val="00B44D92"/>
    <w:rsid w:val="00B5184F"/>
    <w:rsid w:val="00BA0625"/>
    <w:rsid w:val="00BA2F38"/>
    <w:rsid w:val="00C10C53"/>
    <w:rsid w:val="00C12D64"/>
    <w:rsid w:val="00C66FA3"/>
    <w:rsid w:val="00D61EED"/>
    <w:rsid w:val="00D63714"/>
    <w:rsid w:val="00D7065D"/>
    <w:rsid w:val="00DA2A3B"/>
    <w:rsid w:val="00E75A65"/>
    <w:rsid w:val="00EC6693"/>
    <w:rsid w:val="00EF0A9D"/>
    <w:rsid w:val="00F25456"/>
    <w:rsid w:val="00F33E62"/>
    <w:rsid w:val="00F662E1"/>
    <w:rsid w:val="00F97F39"/>
    <w:rsid w:val="00FE0F73"/>
    <w:rsid w:val="00FE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ED049"/>
  <w15:chartTrackingRefBased/>
  <w15:docId w15:val="{EE776808-52C9-416C-83E1-0F2E6869E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Theme="minorHAnsi" w:hAnsi="Trebuchet MS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DFC"/>
    <w:pPr>
      <w:spacing w:after="120" w:line="288" w:lineRule="auto"/>
      <w:jc w:val="both"/>
    </w:pPr>
    <w:rPr>
      <w:rFonts w:asciiTheme="minorHAnsi" w:eastAsiaTheme="majorEastAsia" w:hAnsiTheme="minorHAnsi" w:cstheme="minorHAnsi"/>
      <w:color w:val="00223C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44DFC"/>
    <w:pPr>
      <w:keepNext/>
      <w:keepLines/>
      <w:spacing w:before="40"/>
      <w:outlineLvl w:val="0"/>
    </w:pPr>
    <w:rPr>
      <w:b/>
      <w:sz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A05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C8F"/>
  </w:style>
  <w:style w:type="paragraph" w:styleId="Cabealho">
    <w:name w:val="header"/>
    <w:basedOn w:val="Normal"/>
    <w:link w:val="CabealhoChar"/>
    <w:uiPriority w:val="99"/>
    <w:unhideWhenUsed/>
    <w:rsid w:val="00344D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4DFC"/>
    <w:rPr>
      <w:rFonts w:asciiTheme="minorHAnsi" w:eastAsiaTheme="majorEastAsia" w:hAnsiTheme="minorHAnsi" w:cstheme="minorHAnsi"/>
      <w:color w:val="00223C"/>
      <w:sz w:val="24"/>
      <w:szCs w:val="24"/>
    </w:rPr>
  </w:style>
  <w:style w:type="table" w:styleId="Tabelacomgrade">
    <w:name w:val="Table Grid"/>
    <w:basedOn w:val="Tabelanormal"/>
    <w:uiPriority w:val="39"/>
    <w:rsid w:val="008A7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A76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44DFC"/>
    <w:rPr>
      <w:rFonts w:asciiTheme="minorHAnsi" w:eastAsiaTheme="majorEastAsia" w:hAnsiTheme="minorHAnsi" w:cstheme="minorHAnsi"/>
      <w:b/>
      <w:color w:val="00223C"/>
      <w:sz w:val="36"/>
      <w:szCs w:val="24"/>
    </w:rPr>
  </w:style>
  <w:style w:type="paragraph" w:styleId="Ttulo">
    <w:name w:val="Title"/>
    <w:basedOn w:val="Ttulo1"/>
    <w:next w:val="Normal"/>
    <w:link w:val="TtuloChar"/>
    <w:uiPriority w:val="10"/>
    <w:qFormat/>
    <w:rsid w:val="00344DFC"/>
    <w:rPr>
      <w:b w:val="0"/>
      <w:color w:val="CD8C5E"/>
    </w:rPr>
  </w:style>
  <w:style w:type="character" w:customStyle="1" w:styleId="TtuloChar">
    <w:name w:val="Título Char"/>
    <w:basedOn w:val="Fontepargpadro"/>
    <w:link w:val="Ttulo"/>
    <w:uiPriority w:val="10"/>
    <w:rsid w:val="00344DFC"/>
    <w:rPr>
      <w:rFonts w:asciiTheme="minorHAnsi" w:eastAsiaTheme="majorEastAsia" w:hAnsiTheme="minorHAnsi" w:cstheme="minorHAnsi"/>
      <w:color w:val="CD8C5E"/>
      <w:sz w:val="36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344DFC"/>
    <w:pPr>
      <w:outlineLvl w:val="3"/>
    </w:pPr>
    <w:rPr>
      <w:color w:val="CD8C5E"/>
      <w:sz w:val="28"/>
    </w:rPr>
  </w:style>
  <w:style w:type="character" w:customStyle="1" w:styleId="SubttuloChar">
    <w:name w:val="Subtítulo Char"/>
    <w:basedOn w:val="Fontepargpadro"/>
    <w:link w:val="Subttulo"/>
    <w:uiPriority w:val="11"/>
    <w:rsid w:val="00344DFC"/>
    <w:rPr>
      <w:rFonts w:asciiTheme="minorHAnsi" w:eastAsiaTheme="majorEastAsia" w:hAnsiTheme="minorHAnsi" w:cstheme="minorHAnsi"/>
      <w:color w:val="CD8C5E"/>
      <w:sz w:val="28"/>
      <w:szCs w:val="24"/>
    </w:rPr>
  </w:style>
  <w:style w:type="character" w:styleId="RefernciaSutil">
    <w:name w:val="Subtle Reference"/>
    <w:aliases w:val="Autor"/>
    <w:uiPriority w:val="31"/>
    <w:qFormat/>
    <w:rsid w:val="00344DFC"/>
    <w:rPr>
      <w:rFonts w:asciiTheme="minorHAnsi" w:eastAsiaTheme="majorEastAsia" w:hAnsiTheme="minorHAnsi" w:cstheme="minorHAnsi"/>
      <w:color w:val="00223C"/>
      <w:sz w:val="20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8E7601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F0A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alor.globo.com/empresas/noticia/2025/02/11/consolidacao-de-aeroportos-esbarra-em-crise-das-aereas-e-cenario-economico-incerto.ghtm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11E31FBC85564FB132ADF01B41413E" ma:contentTypeVersion="10" ma:contentTypeDescription="Create a new document." ma:contentTypeScope="" ma:versionID="6a444468c8cd8e6632dde8d8ca2c8a86">
  <xsd:schema xmlns:xsd="http://www.w3.org/2001/XMLSchema" xmlns:xs="http://www.w3.org/2001/XMLSchema" xmlns:p="http://schemas.microsoft.com/office/2006/metadata/properties" xmlns:ns2="2487ea75-34d9-4e6e-9e0b-955b7bb54bb5" xmlns:ns3="dd45bb7a-78ad-4804-b887-70d2fb1c92d8" targetNamespace="http://schemas.microsoft.com/office/2006/metadata/properties" ma:root="true" ma:fieldsID="7c24be4ded678f3ae5ad10735a509f7d" ns2:_="" ns3:_="">
    <xsd:import namespace="2487ea75-34d9-4e6e-9e0b-955b7bb54bb5"/>
    <xsd:import namespace="dd45bb7a-78ad-4804-b887-70d2fb1c92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87ea75-34d9-4e6e-9e0b-955b7bb54b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5ea7fb-e792-4e6e-9a5d-6b311ee344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5bb7a-78ad-4804-b887-70d2fb1c92d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68663b0-01f8-4b23-8180-b28ef939987d}" ma:internalName="TaxCatchAll" ma:showField="CatchAllData" ma:web="dd45bb7a-78ad-4804-b887-70d2fb1c92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87ea75-34d9-4e6e-9e0b-955b7bb54bb5">
      <Terms xmlns="http://schemas.microsoft.com/office/infopath/2007/PartnerControls"/>
    </lcf76f155ced4ddcb4097134ff3c332f>
    <TaxCatchAll xmlns="dd45bb7a-78ad-4804-b887-70d2fb1c92d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27C9F4-17B4-472E-A8AB-B50C5AA0C566}"/>
</file>

<file path=customXml/itemProps2.xml><?xml version="1.0" encoding="utf-8"?>
<ds:datastoreItem xmlns:ds="http://schemas.openxmlformats.org/officeDocument/2006/customXml" ds:itemID="{810E9C63-3C9F-44E4-B97F-96676063CC68}">
  <ds:schemaRefs>
    <ds:schemaRef ds:uri="http://schemas.microsoft.com/office/2006/metadata/properties"/>
    <ds:schemaRef ds:uri="http://schemas.microsoft.com/office/infopath/2007/PartnerControls"/>
    <ds:schemaRef ds:uri="2487ea75-34d9-4e6e-9e0b-955b7bb54bb5"/>
    <ds:schemaRef ds:uri="dd45bb7a-78ad-4804-b887-70d2fb1c92d8"/>
  </ds:schemaRefs>
</ds:datastoreItem>
</file>

<file path=customXml/itemProps3.xml><?xml version="1.0" encoding="utf-8"?>
<ds:datastoreItem xmlns:ds="http://schemas.openxmlformats.org/officeDocument/2006/customXml" ds:itemID="{F529850C-65D6-4DB7-BB4A-C8E627989C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0F72AC-D240-4C11-A174-DF1A30B31DA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37360a1-744a-486a-ba0c-ed1adb98b2cd}" enabled="0" method="" siteId="{637360a1-744a-486a-ba0c-ed1adb98b2c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1242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Santana Sa | Demarest Advogados</dc:creator>
  <cp:keywords/>
  <dc:description/>
  <cp:lastModifiedBy>Mariah Nascimento | Demarest Advogados</cp:lastModifiedBy>
  <cp:revision>3</cp:revision>
  <cp:lastPrinted>2018-08-30T22:02:00Z</cp:lastPrinted>
  <dcterms:created xsi:type="dcterms:W3CDTF">2025-02-11T12:05:00Z</dcterms:created>
  <dcterms:modified xsi:type="dcterms:W3CDTF">2025-02-11T12:08:00Z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0x010100C711E31FBC85564FB132ADF01B41413E</vt:lpwstr>
  </property>
  <property fmtid="{D5CDD505-2E9C-101B-9397-08002B2CF9AE}" pid="3" name="Order">
    <vt:r8>9342600</vt:r8>
  </property>
  <property fmtid="{D5CDD505-2E9C-101B-9397-08002B2CF9AE}" pid="4" name="MediaServiceImageTags">
    <vt:lpwstr/>
  </property>
</Properties>
</file>